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EA1A75" w:rsidRDefault="00354A58" w:rsidP="00956EB6">
      <w:pPr>
        <w:pStyle w:val="Title"/>
        <w:rPr>
          <w:sz w:val="32"/>
          <w:szCs w:val="32"/>
        </w:rPr>
      </w:pPr>
      <w:bookmarkStart w:id="0" w:name="_Hlk78354194"/>
      <w:r w:rsidRPr="00EA1A75">
        <w:rPr>
          <w:sz w:val="32"/>
          <w:szCs w:val="32"/>
          <w:lang w:val="en-ID"/>
        </w:rPr>
        <w:t>Paper’s</w:t>
      </w:r>
      <w:r w:rsidRPr="00EA1A75">
        <w:rPr>
          <w:sz w:val="32"/>
          <w:szCs w:val="32"/>
        </w:rPr>
        <w:t xml:space="preserve"> </w:t>
      </w:r>
      <w:r w:rsidRPr="00EA1A75">
        <w:rPr>
          <w:sz w:val="32"/>
          <w:szCs w:val="32"/>
          <w:lang w:val="en-US"/>
        </w:rPr>
        <w:t>title</w:t>
      </w:r>
      <w:bookmarkEnd w:id="0"/>
      <w:r w:rsidRPr="00EA1A75">
        <w:rPr>
          <w:sz w:val="32"/>
          <w:szCs w:val="32"/>
          <w:lang w:val="en-US"/>
        </w:rPr>
        <w:t xml:space="preserve"> </w:t>
      </w:r>
      <w:r w:rsidR="005160A8" w:rsidRPr="00EA1A75">
        <w:rPr>
          <w:sz w:val="32"/>
          <w:szCs w:val="32"/>
        </w:rPr>
        <w:t xml:space="preserve">should be </w:t>
      </w:r>
      <w:r w:rsidR="005160A8" w:rsidRPr="00EA1A75">
        <w:rPr>
          <w:sz w:val="32"/>
          <w:szCs w:val="32"/>
          <w:lang w:val="en-US"/>
        </w:rPr>
        <w:t>t</w:t>
      </w:r>
      <w:r w:rsidR="005160A8" w:rsidRPr="00EA1A75">
        <w:rPr>
          <w:sz w:val="32"/>
          <w:szCs w:val="32"/>
        </w:rPr>
        <w:t xml:space="preserve">he fewest possible words that </w:t>
      </w:r>
      <w:r w:rsidR="005160A8" w:rsidRPr="00EA1A75">
        <w:rPr>
          <w:iCs/>
          <w:sz w:val="32"/>
          <w:szCs w:val="32"/>
        </w:rPr>
        <w:t xml:space="preserve">accurately describe </w:t>
      </w:r>
      <w:r w:rsidR="005160A8" w:rsidRPr="00EA1A75">
        <w:rPr>
          <w:iCs/>
          <w:sz w:val="32"/>
          <w:szCs w:val="32"/>
          <w:lang w:val="en-US"/>
        </w:rPr>
        <w:t>t</w:t>
      </w:r>
      <w:r w:rsidR="005160A8" w:rsidRPr="00EA1A75">
        <w:rPr>
          <w:iCs/>
          <w:sz w:val="32"/>
          <w:szCs w:val="32"/>
        </w:rPr>
        <w:t xml:space="preserve">he content </w:t>
      </w:r>
      <w:r w:rsidR="005160A8" w:rsidRPr="00EA1A75">
        <w:rPr>
          <w:iCs/>
          <w:sz w:val="32"/>
          <w:szCs w:val="32"/>
          <w:lang w:val="en-US"/>
        </w:rPr>
        <w:t>o</w:t>
      </w:r>
      <w:r w:rsidR="005160A8" w:rsidRPr="00EA1A75">
        <w:rPr>
          <w:iCs/>
          <w:sz w:val="32"/>
          <w:szCs w:val="32"/>
        </w:rPr>
        <w:t xml:space="preserve">f </w:t>
      </w:r>
      <w:r w:rsidR="005160A8" w:rsidRPr="00EA1A75">
        <w:rPr>
          <w:iCs/>
          <w:sz w:val="32"/>
          <w:szCs w:val="32"/>
          <w:lang w:val="en-US"/>
        </w:rPr>
        <w:t>t</w:t>
      </w:r>
      <w:r w:rsidR="005160A8" w:rsidRPr="00EA1A75">
        <w:rPr>
          <w:iCs/>
          <w:sz w:val="32"/>
          <w:szCs w:val="32"/>
        </w:rPr>
        <w:t>he paper</w:t>
      </w:r>
      <w:r w:rsidR="005160A8" w:rsidRPr="00EA1A75">
        <w:rPr>
          <w:iCs/>
          <w:sz w:val="32"/>
          <w:szCs w:val="32"/>
          <w:lang w:val="en-US"/>
        </w:rPr>
        <w:t xml:space="preserve"> </w:t>
      </w:r>
      <w:r w:rsidR="00904D6D" w:rsidRPr="00EA1A75">
        <w:rPr>
          <w:sz w:val="32"/>
          <w:szCs w:val="32"/>
        </w:rPr>
        <w:t>(Center, Bold, 16</w:t>
      </w:r>
      <w:proofErr w:type="spellStart"/>
      <w:r w:rsidR="00F33C08" w:rsidRPr="00EA1A75">
        <w:rPr>
          <w:sz w:val="32"/>
          <w:szCs w:val="32"/>
          <w:lang w:val="en-US"/>
        </w:rPr>
        <w:t>pt</w:t>
      </w:r>
      <w:proofErr w:type="spellEnd"/>
      <w:r w:rsidR="00904D6D" w:rsidRPr="00EA1A75">
        <w:rPr>
          <w:sz w:val="32"/>
          <w:szCs w:val="32"/>
        </w:rPr>
        <w:t>)</w:t>
      </w:r>
    </w:p>
    <w:p w14:paraId="2A832E5F" w14:textId="04FE9E51" w:rsidR="00904D6D" w:rsidRPr="003847DA" w:rsidRDefault="00904D6D" w:rsidP="00904D6D">
      <w:pPr>
        <w:jc w:val="center"/>
        <w:rPr>
          <w:b/>
          <w:bCs/>
        </w:rPr>
      </w:pPr>
    </w:p>
    <w:p w14:paraId="370C47FE" w14:textId="77777777" w:rsidR="005E51F9" w:rsidRPr="003847DA" w:rsidRDefault="005E51F9" w:rsidP="00904D6D">
      <w:pPr>
        <w:jc w:val="center"/>
        <w:rPr>
          <w:b/>
          <w:bCs/>
        </w:rPr>
      </w:pPr>
    </w:p>
    <w:p w14:paraId="78C91A79" w14:textId="77777777" w:rsidR="003847DA" w:rsidRPr="003847DA" w:rsidRDefault="003847DA" w:rsidP="003847DA">
      <w:pPr>
        <w:jc w:val="center"/>
        <w:rPr>
          <w:b/>
          <w:bCs/>
        </w:rPr>
      </w:pPr>
      <w:r w:rsidRPr="003847DA">
        <w:rPr>
          <w:b/>
          <w:bCs/>
        </w:rPr>
        <w:t>Yu-Tzu Wu</w:t>
      </w:r>
      <w:r w:rsidRPr="003847DA">
        <w:rPr>
          <w:b/>
          <w:bCs/>
          <w:vertAlign w:val="superscript"/>
        </w:rPr>
        <w:t>1,2</w:t>
      </w:r>
      <w:r w:rsidRPr="003847DA">
        <w:rPr>
          <w:b/>
          <w:bCs/>
        </w:rPr>
        <w:t xml:space="preserve">, </w:t>
      </w:r>
      <w:r w:rsidRPr="003847DA">
        <w:rPr>
          <w:b/>
          <w:szCs w:val="18"/>
        </w:rPr>
        <w:t>David Stuckler</w:t>
      </w:r>
      <w:r w:rsidRPr="003847DA">
        <w:rPr>
          <w:b/>
          <w:bCs/>
          <w:vertAlign w:val="superscript"/>
        </w:rPr>
        <w:t>3</w:t>
      </w:r>
      <w:r w:rsidRPr="003847DA">
        <w:rPr>
          <w:b/>
          <w:bCs/>
        </w:rPr>
        <w:t>, Gaetano Isola</w:t>
      </w:r>
      <w:r w:rsidRPr="003847DA">
        <w:rPr>
          <w:b/>
          <w:bCs/>
          <w:vertAlign w:val="superscript"/>
        </w:rPr>
        <w:t>4</w:t>
      </w:r>
      <w:r w:rsidRPr="003847DA">
        <w:rPr>
          <w:b/>
          <w:bCs/>
        </w:rPr>
        <w:t xml:space="preserve"> (10 </w:t>
      </w:r>
      <w:proofErr w:type="spellStart"/>
      <w:r w:rsidRPr="003847DA">
        <w:rPr>
          <w:b/>
          <w:bCs/>
        </w:rPr>
        <w:t>pt</w:t>
      </w:r>
      <w:proofErr w:type="spellEnd"/>
      <w:r w:rsidRPr="003847DA">
        <w:rPr>
          <w:b/>
          <w:bCs/>
        </w:rPr>
        <w:t>)</w:t>
      </w:r>
    </w:p>
    <w:p w14:paraId="5609882B" w14:textId="77777777" w:rsidR="003847DA" w:rsidRPr="003847DA" w:rsidRDefault="003847DA" w:rsidP="003847DA">
      <w:pPr>
        <w:jc w:val="center"/>
        <w:rPr>
          <w:sz w:val="16"/>
          <w:szCs w:val="16"/>
        </w:rPr>
      </w:pPr>
      <w:r w:rsidRPr="003847DA">
        <w:rPr>
          <w:sz w:val="16"/>
          <w:szCs w:val="16"/>
          <w:vertAlign w:val="superscript"/>
        </w:rPr>
        <w:t>1</w:t>
      </w:r>
      <w:r w:rsidRPr="003847DA">
        <w:rPr>
          <w:sz w:val="16"/>
          <w:szCs w:val="16"/>
        </w:rPr>
        <w:t xml:space="preserve">EACH: The Centre for Research in Ageing and Cognitive Health, University of Exeter Medical School and College of Life and Environmental Sciences, Exeter, United Kingdom (8 </w:t>
      </w:r>
      <w:proofErr w:type="spellStart"/>
      <w:r w:rsidRPr="003847DA">
        <w:rPr>
          <w:sz w:val="16"/>
          <w:szCs w:val="16"/>
        </w:rPr>
        <w:t>pt</w:t>
      </w:r>
      <w:proofErr w:type="spellEnd"/>
      <w:r w:rsidRPr="003847DA">
        <w:rPr>
          <w:sz w:val="16"/>
          <w:szCs w:val="16"/>
        </w:rPr>
        <w:t>)</w:t>
      </w:r>
    </w:p>
    <w:p w14:paraId="46B9CF55" w14:textId="77777777" w:rsidR="003847DA" w:rsidRPr="003847DA" w:rsidRDefault="003847DA" w:rsidP="003847DA">
      <w:pPr>
        <w:jc w:val="center"/>
        <w:rPr>
          <w:sz w:val="16"/>
          <w:szCs w:val="16"/>
          <w:vertAlign w:val="superscript"/>
        </w:rPr>
      </w:pPr>
      <w:r w:rsidRPr="003847DA">
        <w:rPr>
          <w:sz w:val="16"/>
          <w:szCs w:val="16"/>
          <w:vertAlign w:val="superscript"/>
        </w:rPr>
        <w:t>2</w:t>
      </w:r>
      <w:r w:rsidRPr="003847DA">
        <w:rPr>
          <w:sz w:val="16"/>
          <w:szCs w:val="16"/>
        </w:rPr>
        <w:t>King’s College London, Social Epidemiology Research Group, Health Service and Population Research, Institute of Psychiatry, Psychology and Neuroscience, London, United Kingdom</w:t>
      </w:r>
    </w:p>
    <w:p w14:paraId="6153D76E" w14:textId="77777777" w:rsidR="003847DA" w:rsidRPr="003847DA" w:rsidRDefault="003847DA" w:rsidP="003847DA">
      <w:pPr>
        <w:jc w:val="center"/>
        <w:rPr>
          <w:sz w:val="16"/>
          <w:szCs w:val="16"/>
        </w:rPr>
      </w:pPr>
      <w:r w:rsidRPr="003847DA">
        <w:rPr>
          <w:sz w:val="16"/>
          <w:szCs w:val="18"/>
          <w:vertAlign w:val="superscript"/>
        </w:rPr>
        <w:t>3</w:t>
      </w:r>
      <w:r w:rsidRPr="003847DA">
        <w:rPr>
          <w:sz w:val="16"/>
          <w:szCs w:val="18"/>
        </w:rPr>
        <w:t xml:space="preserve">Department of Sociology, Faculty of Human, Social and Political Science, Cambridge University, Cambridge, </w:t>
      </w:r>
      <w:r w:rsidRPr="003847DA">
        <w:rPr>
          <w:sz w:val="16"/>
          <w:szCs w:val="16"/>
        </w:rPr>
        <w:t>United Kingdom</w:t>
      </w:r>
    </w:p>
    <w:p w14:paraId="687C71D9" w14:textId="77777777" w:rsidR="003847DA" w:rsidRPr="003847DA" w:rsidRDefault="003847DA" w:rsidP="003847DA">
      <w:pPr>
        <w:jc w:val="center"/>
        <w:rPr>
          <w:sz w:val="16"/>
          <w:szCs w:val="16"/>
          <w:vertAlign w:val="superscript"/>
        </w:rPr>
      </w:pPr>
      <w:r w:rsidRPr="003847DA">
        <w:rPr>
          <w:sz w:val="16"/>
          <w:szCs w:val="16"/>
          <w:vertAlign w:val="superscript"/>
        </w:rPr>
        <w:t>4</w:t>
      </w:r>
      <w:r w:rsidRPr="003847DA">
        <w:rPr>
          <w:sz w:val="16"/>
          <w:szCs w:val="16"/>
        </w:rPr>
        <w:t>Department of General Surgery and Surgical-Medical Specialties, School of Dentistry, University of Catania, Catania, Italy</w:t>
      </w:r>
    </w:p>
    <w:p w14:paraId="5CCC3BE9" w14:textId="2B273520" w:rsidR="00C07BEF" w:rsidRPr="003847DA" w:rsidRDefault="00C07BEF" w:rsidP="0088233C">
      <w:pPr>
        <w:jc w:val="center"/>
      </w:pPr>
    </w:p>
    <w:p w14:paraId="1A2DD17D" w14:textId="77777777" w:rsidR="004D3838" w:rsidRPr="003847DA" w:rsidRDefault="004D3838"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3847DA" w:rsidRPr="003847DA"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3847DA" w:rsidRDefault="00957C11" w:rsidP="00957C11">
            <w:pPr>
              <w:spacing w:before="120"/>
              <w:jc w:val="both"/>
              <w:rPr>
                <w:b/>
              </w:rPr>
            </w:pPr>
            <w:r w:rsidRPr="003847DA">
              <w:rPr>
                <w:b/>
              </w:rPr>
              <w:t>Article Info</w:t>
            </w:r>
          </w:p>
        </w:tc>
        <w:tc>
          <w:tcPr>
            <w:tcW w:w="283" w:type="dxa"/>
            <w:tcBorders>
              <w:top w:val="double" w:sz="4" w:space="0" w:color="auto"/>
              <w:left w:val="nil"/>
              <w:bottom w:val="nil"/>
              <w:right w:val="nil"/>
            </w:tcBorders>
          </w:tcPr>
          <w:p w14:paraId="3E270EF1" w14:textId="77777777" w:rsidR="00957C11" w:rsidRPr="003847DA"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3847DA" w:rsidRDefault="00957C11" w:rsidP="00957C11">
            <w:pPr>
              <w:spacing w:before="120"/>
              <w:rPr>
                <w:sz w:val="24"/>
                <w:szCs w:val="24"/>
              </w:rPr>
            </w:pPr>
            <w:r w:rsidRPr="003847DA">
              <w:rPr>
                <w:b/>
                <w:bCs/>
                <w:iCs/>
              </w:rPr>
              <w:t xml:space="preserve">ABSTRACT </w:t>
            </w:r>
            <w:r w:rsidRPr="003847DA">
              <w:rPr>
                <w:sz w:val="18"/>
                <w:szCs w:val="18"/>
              </w:rPr>
              <w:t>(10 PT)</w:t>
            </w:r>
          </w:p>
        </w:tc>
      </w:tr>
      <w:tr w:rsidR="003847DA" w:rsidRPr="003847DA"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3847DA" w:rsidRDefault="00941203" w:rsidP="00941203">
            <w:pPr>
              <w:spacing w:before="120" w:after="120"/>
              <w:jc w:val="both"/>
              <w:rPr>
                <w:b/>
                <w:i/>
              </w:rPr>
            </w:pPr>
            <w:r w:rsidRPr="003847DA">
              <w:rPr>
                <w:b/>
                <w:i/>
              </w:rPr>
              <w:t>Article history:</w:t>
            </w:r>
          </w:p>
          <w:p w14:paraId="1B21A247" w14:textId="7B095E52" w:rsidR="00941203" w:rsidRPr="003847DA" w:rsidRDefault="00941203" w:rsidP="00957C11">
            <w:pPr>
              <w:jc w:val="both"/>
            </w:pPr>
            <w:r w:rsidRPr="003847DA">
              <w:t xml:space="preserve">Received </w:t>
            </w:r>
            <w:r w:rsidR="00523156" w:rsidRPr="003847DA">
              <w:t>m</w:t>
            </w:r>
            <w:r w:rsidR="0001593E" w:rsidRPr="003847DA">
              <w:t>onth</w:t>
            </w:r>
            <w:r w:rsidR="00523156" w:rsidRPr="003847DA">
              <w:t xml:space="preserve"> dd, </w:t>
            </w:r>
            <w:proofErr w:type="spellStart"/>
            <w:r w:rsidR="00523156" w:rsidRPr="003847DA">
              <w:t>yyyy</w:t>
            </w:r>
            <w:proofErr w:type="spellEnd"/>
          </w:p>
          <w:p w14:paraId="745B47E5" w14:textId="0ABD0ADE" w:rsidR="00941203" w:rsidRPr="003847DA" w:rsidRDefault="00941203" w:rsidP="00957C11">
            <w:pPr>
              <w:jc w:val="both"/>
            </w:pPr>
            <w:r w:rsidRPr="003847DA">
              <w:t xml:space="preserve">Revised </w:t>
            </w:r>
            <w:r w:rsidR="0001593E" w:rsidRPr="003847DA">
              <w:t>month</w:t>
            </w:r>
            <w:r w:rsidR="00523156" w:rsidRPr="003847DA">
              <w:t xml:space="preserve"> dd, </w:t>
            </w:r>
            <w:proofErr w:type="spellStart"/>
            <w:r w:rsidR="00523156" w:rsidRPr="003847DA">
              <w:t>yyyy</w:t>
            </w:r>
            <w:proofErr w:type="spellEnd"/>
          </w:p>
          <w:p w14:paraId="6CE20EAE" w14:textId="41F37457" w:rsidR="00941203" w:rsidRPr="003847DA" w:rsidRDefault="00941203" w:rsidP="00957C11">
            <w:pPr>
              <w:jc w:val="both"/>
            </w:pPr>
            <w:r w:rsidRPr="003847DA">
              <w:t xml:space="preserve">Accepted </w:t>
            </w:r>
            <w:r w:rsidR="0001593E" w:rsidRPr="003847DA">
              <w:t>month</w:t>
            </w:r>
            <w:r w:rsidR="00523156" w:rsidRPr="003847DA">
              <w:t xml:space="preserve"> dd, </w:t>
            </w:r>
            <w:proofErr w:type="spellStart"/>
            <w:r w:rsidR="00523156" w:rsidRPr="003847DA">
              <w:t>yyyy</w:t>
            </w:r>
            <w:proofErr w:type="spellEnd"/>
          </w:p>
          <w:p w14:paraId="375A1808" w14:textId="77777777" w:rsidR="00941203" w:rsidRPr="003847DA" w:rsidRDefault="00941203" w:rsidP="00941203">
            <w:pPr>
              <w:jc w:val="both"/>
            </w:pPr>
          </w:p>
        </w:tc>
        <w:tc>
          <w:tcPr>
            <w:tcW w:w="283" w:type="dxa"/>
            <w:vMerge w:val="restart"/>
            <w:tcBorders>
              <w:top w:val="nil"/>
              <w:left w:val="nil"/>
              <w:bottom w:val="nil"/>
              <w:right w:val="nil"/>
            </w:tcBorders>
          </w:tcPr>
          <w:p w14:paraId="1658B743" w14:textId="77777777" w:rsidR="00941203" w:rsidRPr="003847DA"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38E9FAF6" w:rsidR="00941203" w:rsidRPr="003847DA" w:rsidRDefault="00942626" w:rsidP="00957C11">
            <w:pPr>
              <w:spacing w:before="120"/>
              <w:jc w:val="both"/>
            </w:pPr>
            <w:r w:rsidRPr="003847DA">
              <w:rPr>
                <w:iCs/>
                <w:sz w:val="18"/>
                <w:szCs w:val="18"/>
              </w:rPr>
              <w:t>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w:t>
            </w:r>
            <w:r w:rsidRPr="003847DA">
              <w:rPr>
                <w:sz w:val="18"/>
                <w:szCs w:val="18"/>
              </w:rPr>
              <w:t xml:space="preserve"> </w:t>
            </w:r>
            <w:r w:rsidRPr="003847DA">
              <w:rPr>
                <w:iCs/>
                <w:sz w:val="18"/>
                <w:szCs w:val="18"/>
              </w:rPr>
              <w:t xml:space="preserve">The abstract should be informative and completely self-explanatory, provide a clear statement of the problem, the proposed approach or solution, and point out major findings and conclusions. </w:t>
            </w:r>
            <w:r w:rsidRPr="003847DA">
              <w:rPr>
                <w:b/>
                <w:bCs/>
                <w:iCs/>
                <w:sz w:val="18"/>
                <w:szCs w:val="18"/>
              </w:rPr>
              <w:t xml:space="preserve">The Abstract should be 100 to 200 words in length. </w:t>
            </w:r>
            <w:r w:rsidRPr="003847DA">
              <w:rPr>
                <w:iCs/>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w:t>
            </w:r>
            <w:r w:rsidRPr="003847DA">
              <w:rPr>
                <w:sz w:val="18"/>
                <w:szCs w:val="18"/>
              </w:rPr>
              <w:t xml:space="preserve"> </w:t>
            </w:r>
            <w:r w:rsidRPr="003847DA">
              <w:rPr>
                <w:iCs/>
                <w:sz w:val="18"/>
                <w:szCs w:val="18"/>
              </w:rPr>
              <w:t xml:space="preserve">The keyword list provides the opportunity to add 5 to 7 keywords, used by the indexing and abstracting services, in addition to those already present in the title </w:t>
            </w:r>
            <w:r w:rsidRPr="003847DA">
              <w:rPr>
                <w:sz w:val="18"/>
                <w:szCs w:val="18"/>
              </w:rPr>
              <w:t xml:space="preserve">(9 </w:t>
            </w:r>
            <w:proofErr w:type="spellStart"/>
            <w:r w:rsidRPr="003847DA">
              <w:rPr>
                <w:sz w:val="18"/>
                <w:szCs w:val="18"/>
              </w:rPr>
              <w:t>pt</w:t>
            </w:r>
            <w:proofErr w:type="spellEnd"/>
            <w:r w:rsidRPr="003847DA">
              <w:rPr>
                <w:sz w:val="18"/>
                <w:szCs w:val="18"/>
              </w:rPr>
              <w:t>)</w:t>
            </w:r>
            <w:r w:rsidRPr="003847DA">
              <w:rPr>
                <w:iCs/>
                <w:sz w:val="18"/>
                <w:szCs w:val="18"/>
              </w:rPr>
              <w:t>.</w:t>
            </w:r>
          </w:p>
        </w:tc>
      </w:tr>
      <w:tr w:rsidR="003847DA" w:rsidRPr="003847DA"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3847DA" w:rsidRDefault="00941203" w:rsidP="00941203">
            <w:pPr>
              <w:spacing w:before="120" w:after="120"/>
              <w:jc w:val="both"/>
              <w:rPr>
                <w:b/>
                <w:i/>
              </w:rPr>
            </w:pPr>
            <w:r w:rsidRPr="003847DA">
              <w:rPr>
                <w:b/>
                <w:i/>
              </w:rPr>
              <w:t>Keyword</w:t>
            </w:r>
            <w:r w:rsidR="005160A8" w:rsidRPr="003847DA">
              <w:rPr>
                <w:b/>
                <w:i/>
              </w:rPr>
              <w:t>s</w:t>
            </w:r>
            <w:r w:rsidRPr="003847DA">
              <w:rPr>
                <w:b/>
                <w:i/>
              </w:rPr>
              <w:t>:</w:t>
            </w:r>
          </w:p>
          <w:p w14:paraId="4C3E5936" w14:textId="77777777" w:rsidR="00941203" w:rsidRPr="003847DA" w:rsidRDefault="00941203" w:rsidP="00941203">
            <w:pPr>
              <w:jc w:val="both"/>
            </w:pPr>
            <w:r w:rsidRPr="003847DA">
              <w:t>First keyword</w:t>
            </w:r>
          </w:p>
          <w:p w14:paraId="0EF152BF" w14:textId="77777777" w:rsidR="00941203" w:rsidRPr="003847DA" w:rsidRDefault="00941203" w:rsidP="00941203">
            <w:pPr>
              <w:jc w:val="both"/>
            </w:pPr>
            <w:r w:rsidRPr="003847DA">
              <w:t>Second keyword</w:t>
            </w:r>
          </w:p>
          <w:p w14:paraId="5B0032F7" w14:textId="77777777" w:rsidR="00941203" w:rsidRPr="003847DA" w:rsidRDefault="00941203" w:rsidP="00941203">
            <w:pPr>
              <w:jc w:val="both"/>
            </w:pPr>
            <w:r w:rsidRPr="003847DA">
              <w:t>Third keyword</w:t>
            </w:r>
          </w:p>
          <w:p w14:paraId="31B015CF" w14:textId="77777777" w:rsidR="00941203" w:rsidRPr="003847DA" w:rsidRDefault="00941203" w:rsidP="00941203">
            <w:pPr>
              <w:jc w:val="both"/>
            </w:pPr>
            <w:r w:rsidRPr="003847DA">
              <w:t>Fourth keyword</w:t>
            </w:r>
          </w:p>
          <w:p w14:paraId="4B416523" w14:textId="77777777" w:rsidR="00941203" w:rsidRPr="003847DA" w:rsidRDefault="00941203" w:rsidP="00941203">
            <w:pPr>
              <w:jc w:val="both"/>
              <w:rPr>
                <w:b/>
                <w:i/>
              </w:rPr>
            </w:pPr>
            <w:r w:rsidRPr="003847DA">
              <w:t>Fifth keyword</w:t>
            </w:r>
          </w:p>
        </w:tc>
        <w:tc>
          <w:tcPr>
            <w:tcW w:w="283" w:type="dxa"/>
            <w:vMerge/>
            <w:tcBorders>
              <w:top w:val="nil"/>
              <w:left w:val="nil"/>
              <w:bottom w:val="nil"/>
              <w:right w:val="nil"/>
            </w:tcBorders>
          </w:tcPr>
          <w:p w14:paraId="26D1DFBC" w14:textId="77777777" w:rsidR="00941203" w:rsidRPr="003847DA" w:rsidRDefault="00941203" w:rsidP="00957C11">
            <w:pPr>
              <w:spacing w:before="120"/>
              <w:jc w:val="both"/>
            </w:pPr>
          </w:p>
        </w:tc>
        <w:tc>
          <w:tcPr>
            <w:tcW w:w="5812" w:type="dxa"/>
            <w:vMerge/>
            <w:tcBorders>
              <w:top w:val="nil"/>
              <w:left w:val="nil"/>
              <w:bottom w:val="nil"/>
              <w:right w:val="nil"/>
            </w:tcBorders>
          </w:tcPr>
          <w:p w14:paraId="5C80F7FA" w14:textId="77777777" w:rsidR="00941203" w:rsidRPr="003847DA" w:rsidRDefault="00941203" w:rsidP="00957C11">
            <w:pPr>
              <w:spacing w:before="120"/>
              <w:jc w:val="both"/>
              <w:rPr>
                <w:iCs/>
                <w:sz w:val="18"/>
                <w:szCs w:val="18"/>
              </w:rPr>
            </w:pPr>
          </w:p>
        </w:tc>
      </w:tr>
      <w:tr w:rsidR="003847DA" w:rsidRPr="003847DA"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3847DA"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Pr="003847DA" w:rsidRDefault="00941203" w:rsidP="00957C11">
            <w:pPr>
              <w:spacing w:before="120"/>
              <w:jc w:val="both"/>
            </w:pPr>
          </w:p>
        </w:tc>
        <w:tc>
          <w:tcPr>
            <w:tcW w:w="5812" w:type="dxa"/>
            <w:tcBorders>
              <w:top w:val="nil"/>
              <w:left w:val="nil"/>
              <w:bottom w:val="single" w:sz="4" w:space="0" w:color="auto"/>
              <w:right w:val="nil"/>
            </w:tcBorders>
          </w:tcPr>
          <w:p w14:paraId="205931C6" w14:textId="27EC2963" w:rsidR="001414E2" w:rsidRPr="003847DA" w:rsidRDefault="001414E2" w:rsidP="001414E2">
            <w:pPr>
              <w:spacing w:before="120" w:after="120"/>
              <w:jc w:val="right"/>
              <w:rPr>
                <w:i/>
                <w:iCs/>
                <w:sz w:val="18"/>
                <w:szCs w:val="18"/>
              </w:rPr>
            </w:pPr>
            <w:r w:rsidRPr="003847DA">
              <w:rPr>
                <w:i/>
                <w:iCs/>
                <w:sz w:val="18"/>
                <w:szCs w:val="18"/>
              </w:rPr>
              <w:t xml:space="preserve">This is an open access article under the </w:t>
            </w:r>
            <w:hyperlink r:id="rId8" w:history="1">
              <w:r w:rsidR="00BC5738">
                <w:rPr>
                  <w:rStyle w:val="Hyperlink"/>
                  <w:i/>
                  <w:iCs/>
                  <w:sz w:val="18"/>
                  <w:szCs w:val="18"/>
                </w:rPr>
                <w:t>CC BY-SA</w:t>
              </w:r>
            </w:hyperlink>
            <w:r w:rsidRPr="003847DA">
              <w:rPr>
                <w:i/>
                <w:iCs/>
                <w:sz w:val="18"/>
                <w:szCs w:val="18"/>
              </w:rPr>
              <w:t xml:space="preserve"> license.</w:t>
            </w:r>
          </w:p>
          <w:p w14:paraId="18D744D6" w14:textId="77777777" w:rsidR="00941203" w:rsidRPr="003847DA" w:rsidRDefault="001414E2" w:rsidP="001414E2">
            <w:pPr>
              <w:spacing w:before="120" w:after="120"/>
              <w:jc w:val="right"/>
              <w:rPr>
                <w:i/>
                <w:iCs/>
                <w:sz w:val="18"/>
                <w:szCs w:val="18"/>
              </w:rPr>
            </w:pPr>
            <w:r w:rsidRPr="003847DA">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3847DA"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3847DA" w:rsidRDefault="007F286F" w:rsidP="00941203">
            <w:pPr>
              <w:spacing w:before="120" w:after="120"/>
              <w:rPr>
                <w:b/>
                <w:i/>
              </w:rPr>
            </w:pPr>
            <w:r w:rsidRPr="003847DA">
              <w:rPr>
                <w:b/>
                <w:i/>
              </w:rPr>
              <w:t>Corresponding Author:</w:t>
            </w:r>
          </w:p>
          <w:p w14:paraId="6457F66F" w14:textId="530497B7" w:rsidR="00942626" w:rsidRPr="003847DA" w:rsidRDefault="006718F2" w:rsidP="00942626">
            <w:r w:rsidRPr="006718F2">
              <w:rPr>
                <w:bCs/>
                <w:kern w:val="36"/>
                <w:lang w:val="en-AU" w:eastAsia="en-AU"/>
              </w:rPr>
              <w:t>Yu-Tzu Wu</w:t>
            </w:r>
            <w:r w:rsidR="00942626" w:rsidRPr="003847DA">
              <w:br/>
              <w:t xml:space="preserve">EACH: The Centre for Research in Ageing and Cognitive Health, University of Exeter </w:t>
            </w:r>
          </w:p>
          <w:p w14:paraId="3C411EDF" w14:textId="12FA7CFB" w:rsidR="00941203" w:rsidRPr="003847DA" w:rsidRDefault="00942626" w:rsidP="00942626">
            <w:pPr>
              <w:spacing w:after="120"/>
              <w:rPr>
                <w:sz w:val="18"/>
                <w:szCs w:val="18"/>
              </w:rPr>
            </w:pPr>
            <w:r w:rsidRPr="003847DA">
              <w:t xml:space="preserve">South Cloisters, St Luke’s Campus, Exeter, EX1 2LU, United Kingdom </w:t>
            </w:r>
            <w:r w:rsidRPr="003847DA">
              <w:br/>
              <w:t xml:space="preserve">Email: </w:t>
            </w:r>
            <w:r w:rsidR="00D238C2" w:rsidRPr="00D238C2">
              <w:t>Y.Wu3@exeter.ac.uk</w:t>
            </w:r>
          </w:p>
        </w:tc>
      </w:tr>
    </w:tbl>
    <w:p w14:paraId="19EB2672" w14:textId="6182C3C4" w:rsidR="00957C11" w:rsidRPr="003847DA" w:rsidRDefault="00957C11" w:rsidP="00957C11">
      <w:pPr>
        <w:jc w:val="both"/>
      </w:pPr>
    </w:p>
    <w:p w14:paraId="6D2E917E" w14:textId="77777777" w:rsidR="00C07BEF" w:rsidRPr="003847DA" w:rsidRDefault="00C07BEF" w:rsidP="00957C11">
      <w:pPr>
        <w:jc w:val="both"/>
      </w:pPr>
    </w:p>
    <w:p w14:paraId="2E9083D0" w14:textId="77777777" w:rsidR="00904D6D" w:rsidRPr="003847DA" w:rsidRDefault="00F33C08" w:rsidP="00956EB6">
      <w:pPr>
        <w:numPr>
          <w:ilvl w:val="0"/>
          <w:numId w:val="15"/>
        </w:numPr>
        <w:tabs>
          <w:tab w:val="left" w:pos="426"/>
        </w:tabs>
        <w:ind w:left="426" w:hanging="426"/>
        <w:rPr>
          <w:b/>
          <w:bCs/>
          <w:lang w:val="id-ID"/>
        </w:rPr>
      </w:pPr>
      <w:r w:rsidRPr="003847DA">
        <w:rPr>
          <w:b/>
          <w:bCs/>
          <w:lang w:val="id-ID"/>
        </w:rPr>
        <w:t>INTRODUCTION</w:t>
      </w:r>
      <w:r w:rsidRPr="003847DA">
        <w:rPr>
          <w:b/>
          <w:bCs/>
        </w:rPr>
        <w:t xml:space="preserve"> (10 PT)</w:t>
      </w:r>
    </w:p>
    <w:p w14:paraId="2247CDE2" w14:textId="4E0FD308" w:rsidR="00E619D6" w:rsidRPr="003847DA" w:rsidRDefault="002C4131" w:rsidP="00E619D6">
      <w:pPr>
        <w:ind w:firstLine="720"/>
        <w:jc w:val="both"/>
      </w:pPr>
      <w:bookmarkStart w:id="1" w:name="_Hlk80000636"/>
      <w:bookmarkStart w:id="2" w:name="_Hlk80016671"/>
      <w:r w:rsidRPr="003847DA">
        <w:rPr>
          <w:lang w:val="id-ID"/>
        </w:rPr>
        <w:t>The main text format consists of a flat left-right columns on A4 paper (quarto). The margin text from the left</w:t>
      </w:r>
      <w:r w:rsidRPr="003847DA">
        <w:t xml:space="preserve"> and </w:t>
      </w:r>
      <w:r w:rsidRPr="003847DA">
        <w:rPr>
          <w:lang w:val="id-ID"/>
        </w:rPr>
        <w:t>top</w:t>
      </w:r>
      <w:r w:rsidRPr="003847DA">
        <w:t xml:space="preserve"> are 2.5 cm</w:t>
      </w:r>
      <w:r w:rsidRPr="003847DA">
        <w:rPr>
          <w:lang w:val="id-ID"/>
        </w:rPr>
        <w:t xml:space="preserve">, </w:t>
      </w:r>
      <w:r w:rsidRPr="003847DA">
        <w:t xml:space="preserve">right </w:t>
      </w:r>
      <w:r w:rsidRPr="003847DA">
        <w:rPr>
          <w:lang w:val="id-ID"/>
        </w:rPr>
        <w:t>and bottom</w:t>
      </w:r>
      <w:r w:rsidRPr="003847DA">
        <w:t xml:space="preserve"> are</w:t>
      </w:r>
      <w:r w:rsidRPr="003847DA">
        <w:rPr>
          <w:lang w:val="id-ID"/>
        </w:rPr>
        <w:t xml:space="preserve"> </w:t>
      </w:r>
      <w:r w:rsidRPr="003847DA">
        <w:t>2</w:t>
      </w:r>
      <w:r w:rsidRPr="003847DA">
        <w:rPr>
          <w:lang w:val="id-ID"/>
        </w:rPr>
        <w:t xml:space="preserve"> cm. The manuscript is written in Microsoft Word, single space, </w:t>
      </w:r>
      <w:r w:rsidRPr="003847DA">
        <w:t>Time New Roman</w:t>
      </w:r>
      <w:r w:rsidRPr="003847DA">
        <w:rPr>
          <w:lang w:val="id-ID"/>
        </w:rPr>
        <w:t xml:space="preserve"> 10</w:t>
      </w:r>
      <w:r w:rsidRPr="003847DA">
        <w:t xml:space="preserve"> </w:t>
      </w:r>
      <w:r w:rsidRPr="003847DA">
        <w:rPr>
          <w:lang w:val="id-ID"/>
        </w:rPr>
        <w:t>pt</w:t>
      </w:r>
      <w:r w:rsidRPr="003847DA">
        <w:t>,</w:t>
      </w:r>
      <w:r w:rsidRPr="003847DA">
        <w:rPr>
          <w:lang w:val="id-ID"/>
        </w:rPr>
        <w:t xml:space="preserve"> and maximum 12 pages</w:t>
      </w:r>
      <w:r w:rsidRPr="003847DA">
        <w:t xml:space="preserve"> for original research article, or </w:t>
      </w:r>
      <w:r w:rsidRPr="003847DA">
        <w:rPr>
          <w:lang w:val="id-ID"/>
        </w:rPr>
        <w:t xml:space="preserve">maximum </w:t>
      </w:r>
      <w:r w:rsidRPr="003847DA">
        <w:t>16 pages for review/survey paper</w:t>
      </w:r>
      <w:r w:rsidRPr="003847DA">
        <w:rPr>
          <w:lang w:val="id-ID"/>
        </w:rPr>
        <w:t>, which can be downloaded at the website:</w:t>
      </w:r>
      <w:bookmarkEnd w:id="1"/>
      <w:r w:rsidRPr="003847DA">
        <w:rPr>
          <w:lang w:val="id-ID"/>
        </w:rPr>
        <w:t xml:space="preserve"> </w:t>
      </w:r>
      <w:bookmarkEnd w:id="2"/>
      <w:r w:rsidR="00E619D6" w:rsidRPr="003847DA">
        <w:rPr>
          <w:lang w:val="id-ID"/>
        </w:rPr>
        <w:t xml:space="preserve"> </w:t>
      </w:r>
      <w:r w:rsidR="004D3838" w:rsidRPr="003847DA">
        <w:rPr>
          <w:iCs/>
          <w:szCs w:val="18"/>
        </w:rPr>
        <w:t>http://ijphs.iaescore.com</w:t>
      </w:r>
      <w:r w:rsidRPr="003847DA">
        <w:rPr>
          <w:iCs/>
          <w:szCs w:val="18"/>
        </w:rPr>
        <w:t>.</w:t>
      </w:r>
    </w:p>
    <w:p w14:paraId="085607E1" w14:textId="77777777" w:rsidR="002C4131" w:rsidRPr="003847DA" w:rsidRDefault="002C4131" w:rsidP="002C4131">
      <w:pPr>
        <w:ind w:firstLine="720"/>
        <w:jc w:val="both"/>
        <w:rPr>
          <w:lang w:val="id-ID"/>
        </w:rPr>
      </w:pPr>
      <w:bookmarkStart w:id="3" w:name="_Hlk80000657"/>
      <w:r w:rsidRPr="003847DA">
        <w:rPr>
          <w:lang w:val="id-ID"/>
        </w:rPr>
        <w:t>A title</w:t>
      </w:r>
      <w:r w:rsidRPr="003847DA">
        <w:t xml:space="preserve"> of article</w:t>
      </w:r>
      <w:r w:rsidRPr="003847DA">
        <w:rPr>
          <w:lang w:val="id-ID"/>
        </w:rPr>
        <w:t xml:space="preserve"> should be the fewest possible words that accurately describe the content of the paper. </w:t>
      </w:r>
      <w:r w:rsidRPr="003847DA">
        <w:t>The</w:t>
      </w:r>
      <w:r w:rsidRPr="003847DA">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Avoid  writing  long  formulas  with  subscripts  in  the  title</w:t>
      </w:r>
      <w:r w:rsidRPr="003847DA">
        <w:t xml:space="preserve">. </w:t>
      </w:r>
      <w:r w:rsidRPr="003847DA">
        <w:rPr>
          <w:lang w:val="id-ID"/>
        </w:rPr>
        <w:t>Omit all waste words such as "</w:t>
      </w:r>
      <w:r w:rsidRPr="003847DA">
        <w:rPr>
          <w:i/>
          <w:lang w:val="id-ID"/>
        </w:rPr>
        <w:t>A study of ...</w:t>
      </w:r>
      <w:r w:rsidRPr="003847DA">
        <w:rPr>
          <w:lang w:val="id-ID"/>
        </w:rPr>
        <w:t>", "</w:t>
      </w:r>
      <w:r w:rsidRPr="003847DA">
        <w:rPr>
          <w:i/>
          <w:lang w:val="id-ID"/>
        </w:rPr>
        <w:t>Investigations of ...</w:t>
      </w:r>
      <w:r w:rsidRPr="003847DA">
        <w:rPr>
          <w:lang w:val="id-ID"/>
        </w:rPr>
        <w:t>", "</w:t>
      </w:r>
      <w:r w:rsidRPr="003847DA">
        <w:rPr>
          <w:i/>
          <w:lang w:val="id-ID"/>
        </w:rPr>
        <w:t>Implementation of ...</w:t>
      </w:r>
      <w:r w:rsidRPr="003847DA">
        <w:t>”</w:t>
      </w:r>
      <w:r w:rsidRPr="003847DA">
        <w:rPr>
          <w:lang w:val="id-ID"/>
        </w:rPr>
        <w:t>, "</w:t>
      </w:r>
      <w:r w:rsidRPr="003847DA">
        <w:rPr>
          <w:i/>
          <w:lang w:val="id-ID"/>
        </w:rPr>
        <w:t>Observations on ...</w:t>
      </w:r>
      <w:r w:rsidRPr="003847DA">
        <w:rPr>
          <w:lang w:val="id-ID"/>
        </w:rPr>
        <w:t>", "</w:t>
      </w:r>
      <w:r w:rsidRPr="003847DA">
        <w:rPr>
          <w:i/>
          <w:lang w:val="id-ID"/>
        </w:rPr>
        <w:t>Effect of.....</w:t>
      </w:r>
      <w:r w:rsidRPr="003847DA">
        <w:rPr>
          <w:lang w:val="id-ID"/>
        </w:rPr>
        <w:t>",</w:t>
      </w:r>
      <w:r w:rsidRPr="003847DA">
        <w:t xml:space="preserve"> “</w:t>
      </w:r>
      <w:r w:rsidRPr="003847DA">
        <w:rPr>
          <w:i/>
        </w:rPr>
        <w:t>Analysis of …</w:t>
      </w:r>
      <w:r w:rsidRPr="003847DA">
        <w:t>”, “Design of…”,</w:t>
      </w:r>
      <w:r w:rsidRPr="003847DA">
        <w:rPr>
          <w:lang w:val="id-ID"/>
        </w:rPr>
        <w:t xml:space="preserve"> etc. </w:t>
      </w:r>
    </w:p>
    <w:p w14:paraId="6778E85A" w14:textId="77777777" w:rsidR="002C4131" w:rsidRPr="003847DA" w:rsidRDefault="002C4131" w:rsidP="002C4131">
      <w:pPr>
        <w:ind w:firstLine="720"/>
        <w:jc w:val="both"/>
      </w:pPr>
      <w:r w:rsidRPr="003847DA">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w:t>
      </w:r>
      <w:r w:rsidRPr="003847DA">
        <w:rPr>
          <w:lang w:val="id-ID"/>
        </w:rPr>
        <w:lastRenderedPageBreak/>
        <w:t>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rsidRPr="003847DA">
        <w:t xml:space="preserve"> </w:t>
      </w:r>
    </w:p>
    <w:p w14:paraId="2476A594" w14:textId="77777777" w:rsidR="002C4131" w:rsidRPr="003847DA" w:rsidRDefault="002C4131" w:rsidP="002C4131">
      <w:pPr>
        <w:ind w:firstLine="720"/>
        <w:jc w:val="both"/>
        <w:rPr>
          <w:lang w:val="id-ID"/>
        </w:rPr>
      </w:pPr>
      <w:r w:rsidRPr="003847DA">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76BAF348" w14:textId="0C549403" w:rsidR="002C4131" w:rsidRPr="003847DA" w:rsidRDefault="002C4131" w:rsidP="002C4131">
      <w:pPr>
        <w:ind w:firstLine="720"/>
        <w:jc w:val="both"/>
      </w:pPr>
      <w:r w:rsidRPr="003847DA">
        <w:rPr>
          <w:lang w:val="id-ID"/>
        </w:rPr>
        <w:t xml:space="preserve">The Introduction </w:t>
      </w:r>
      <w:r w:rsidRPr="003847DA">
        <w:rPr>
          <w:lang w:val="en-ID"/>
        </w:rPr>
        <w:t xml:space="preserve">section </w:t>
      </w:r>
      <w:r w:rsidRPr="003847DA">
        <w:rPr>
          <w:lang w:val="id-ID"/>
        </w:rPr>
        <w:t>should provide</w:t>
      </w:r>
      <w:r w:rsidRPr="003847DA">
        <w:rPr>
          <w:lang w:val="en-ID"/>
        </w:rPr>
        <w:t>: i)</w:t>
      </w:r>
      <w:r w:rsidRPr="003847DA">
        <w:rPr>
          <w:lang w:val="id-ID"/>
        </w:rPr>
        <w:t xml:space="preserve"> a clear background, </w:t>
      </w:r>
      <w:r w:rsidRPr="003847DA">
        <w:rPr>
          <w:lang w:val="en-ID"/>
        </w:rPr>
        <w:t xml:space="preserve">ii) </w:t>
      </w:r>
      <w:r w:rsidRPr="003847DA">
        <w:rPr>
          <w:lang w:val="id-ID"/>
        </w:rPr>
        <w:t xml:space="preserve">a clear statement of the problem, </w:t>
      </w:r>
      <w:r w:rsidRPr="003847DA">
        <w:rPr>
          <w:lang w:val="en-ID"/>
        </w:rPr>
        <w:t xml:space="preserve">iii) </w:t>
      </w:r>
      <w:r w:rsidRPr="003847DA">
        <w:rPr>
          <w:lang w:val="id-ID"/>
        </w:rPr>
        <w:t xml:space="preserve">the relevant literature on the subject, </w:t>
      </w:r>
      <w:r w:rsidRPr="003847DA">
        <w:rPr>
          <w:lang w:val="en-ID"/>
        </w:rPr>
        <w:t xml:space="preserve">iv) </w:t>
      </w:r>
      <w:r w:rsidRPr="003847DA">
        <w:rPr>
          <w:lang w:val="id-ID"/>
        </w:rPr>
        <w:t xml:space="preserve">the proposed approach or solution, and </w:t>
      </w:r>
      <w:r w:rsidRPr="003847DA">
        <w:rPr>
          <w:lang w:val="en-ID"/>
        </w:rPr>
        <w:t xml:space="preserve">v) </w:t>
      </w:r>
      <w:r w:rsidRPr="003847DA">
        <w:rPr>
          <w:lang w:val="id-ID"/>
        </w:rPr>
        <w:t>the new value of research which it is innovation</w:t>
      </w:r>
      <w:r w:rsidRPr="003847DA">
        <w:rPr>
          <w:lang w:val="en-ID"/>
        </w:rPr>
        <w:t xml:space="preserve"> (within 3-6 paragraphs)</w:t>
      </w:r>
      <w:r w:rsidRPr="003847DA">
        <w:rPr>
          <w:lang w:val="id-ID"/>
        </w:rPr>
        <w:t>. It should be understandable to colleagues from a broad range of scientific disciplines. Organization and citation of the bibliography are made in</w:t>
      </w:r>
      <w:r w:rsidRPr="003847DA">
        <w:t xml:space="preserve"> </w:t>
      </w:r>
      <w:r w:rsidRPr="003847DA">
        <w:rPr>
          <w:lang w:val="id-ID"/>
        </w:rPr>
        <w:t>Institute of Electrical and Electronics Engineers</w:t>
      </w:r>
      <w:r w:rsidRPr="003847DA">
        <w:t xml:space="preserve"> (IEEE)</w:t>
      </w:r>
      <w:r w:rsidRPr="003847DA">
        <w:rPr>
          <w:lang w:val="id-ID"/>
        </w:rPr>
        <w:t xml:space="preserve"> style in sign </w:t>
      </w:r>
      <w:r w:rsidRPr="003847DA">
        <w:fldChar w:fldCharType="begin" w:fldLock="1"/>
      </w:r>
      <w:r w:rsidRPr="003847DA">
        <w:instrText>ADDIN CSL_CITATION {"citationItems":[{"id":"ITEM-1","itemData":{"DOI":"10.1111/j.1525-1497.2006.00443.x","author":[{"dropping-particle":"","family":"Stepien","given":"K. A.","non-dropping-particle":"","parse-names":false,"suffix":""},{"dropping-particle":"","family":"Baernstein","given":"A.","non-dropping-particle":"","parse-names":false,"suffix":""}],"container-title":"Journal of General Internal Medicine","id":"ITEM-1","issue":"5","issued":{"date-parts":[["2006"]]},"page":"524-530","title":"Educating for empathy: A review","type":"article-journal","volume":"21"},"uris":["http://www.mendeley.com/documents/?uuid=bce695e9-e754-42e8-94ed-53092f1135f6"]}],"mendeley":{"formattedCitation":"[1]","plainTextFormattedCitation":"[1]","previouslyFormattedCitation":"[1]"},"properties":{"noteIndex":0},"schema":"https://github.com/citation-style-language/schema/raw/master/csl-citation.json"}</w:instrText>
      </w:r>
      <w:r w:rsidRPr="003847DA">
        <w:fldChar w:fldCharType="separate"/>
      </w:r>
      <w:r w:rsidRPr="003847DA">
        <w:rPr>
          <w:noProof/>
        </w:rPr>
        <w:t>[1]</w:t>
      </w:r>
      <w:r w:rsidRPr="003847DA">
        <w:fldChar w:fldCharType="end"/>
      </w:r>
      <w:r w:rsidRPr="003847DA">
        <w:t xml:space="preserve">, </w:t>
      </w:r>
      <w:r w:rsidRPr="003847DA">
        <w:fldChar w:fldCharType="begin" w:fldLock="1"/>
      </w:r>
      <w:r w:rsidRPr="003847DA">
        <w:instrText>ADDIN CSL_CITATION {"citationItems":[{"id":"ITEM-1","itemData":{"DOI":"10.4997/JRCPE.2016.210","author":[{"dropping-particle":"","family":"Jeffrey","given":"D.","non-dropping-particle":"","parse-names":false,"suffix":""},{"dropping-particle":"","family":"Downie","given":"R.","non-dropping-particle":"","parse-names":false,"suffix":""}],"container-title":"Journal of the Royal College of Physicians of Edinburgh","id":"ITEM-1","issue":"2","issued":{"date-parts":[["2016"]]},"page":"107-112","title":"Empathy-Can it be taught?","type":"article-journal","volume":"46"},"uris":["http://www.mendeley.com/documents/?uuid=16d15c91-dd19-4ba6-84fe-aedb2d7d4196"]}],"mendeley":{"formattedCitation":"[2]","plainTextFormattedCitation":"[2]","previouslyFormattedCitation":"[2]"},"properties":{"noteIndex":0},"schema":"https://github.com/citation-style-language/schema/raw/master/csl-citation.json"}</w:instrText>
      </w:r>
      <w:r w:rsidRPr="003847DA">
        <w:fldChar w:fldCharType="separate"/>
      </w:r>
      <w:r w:rsidRPr="003847DA">
        <w:rPr>
          <w:noProof/>
        </w:rPr>
        <w:t>[2]</w:t>
      </w:r>
      <w:r w:rsidRPr="003847DA">
        <w:fldChar w:fldCharType="end"/>
      </w:r>
      <w:r w:rsidRPr="003847DA">
        <w:rPr>
          <w:lang w:val="id-ID"/>
        </w:rPr>
        <w:t xml:space="preserve"> and so on. The terms in foreign languages are written italic (</w:t>
      </w:r>
      <w:r w:rsidRPr="003847DA">
        <w:rPr>
          <w:i/>
          <w:iCs/>
          <w:lang w:val="id-ID"/>
        </w:rPr>
        <w:t>italic</w:t>
      </w:r>
      <w:r w:rsidRPr="003847DA">
        <w:rPr>
          <w:lang w:val="id-ID"/>
        </w:rPr>
        <w:t xml:space="preserve">). </w:t>
      </w:r>
      <w:r w:rsidRPr="003847DA">
        <w:t xml:space="preserve">The text should be divided into sections, each with a separate heading and numbered consecutively </w:t>
      </w:r>
      <w:r w:rsidRPr="003847DA">
        <w:fldChar w:fldCharType="begin" w:fldLock="1"/>
      </w:r>
      <w:r w:rsidRPr="003847DA">
        <w:instrText>ADDIN CSL_CITATION {"citationItems":[{"id":"ITEM-1","itemData":{"DOI":"10.1109/MEMB.2008.929887","author":[{"dropping-particle":"","family":"Mathews","given":"R.","non-dropping-particle":"","parse-names":false,"suffix":""},{"dropping-particle":"","family":"Spencer","given":"C. M.","non-dropping-particle":"","parse-names":false,"suffix":""}],"container-title":"IEEE Engineering in Medicine and Biology Magazine","id":"ITEM-1","issue":"6","issued":{"date-parts":[["2008"]]},"page":"42-53","title":"National security strategy for U.S. water","type":"article-journal","volume":"27"},"uris":["http://www.mendeley.com/documents/?uuid=bcb10c7f-f01e-4cd3-80fc-bf883c09b6ce"]}],"mendeley":{"formattedCitation":"[3]","plainTextFormattedCitation":"[3]","previouslyFormattedCitation":"[3]"},"properties":{"noteIndex":0},"schema":"https://github.com/citation-style-language/schema/raw/master/csl-citation.json"}</w:instrText>
      </w:r>
      <w:r w:rsidRPr="003847DA">
        <w:fldChar w:fldCharType="separate"/>
      </w:r>
      <w:r w:rsidRPr="003847DA">
        <w:rPr>
          <w:noProof/>
        </w:rPr>
        <w:t>[3]</w:t>
      </w:r>
      <w:r w:rsidRPr="003847DA">
        <w:fldChar w:fldCharType="end"/>
      </w:r>
      <w:r w:rsidRPr="003847DA">
        <w:t>. The section or subsection headings should be typed on a separate line, e.g., 1. INTRODUCTION. A full article usually follows a standard structure</w:t>
      </w:r>
      <w:r w:rsidRPr="003847DA">
        <w:rPr>
          <w:lang w:val="id-ID"/>
        </w:rPr>
        <w:t>:</w:t>
      </w:r>
      <w:r w:rsidRPr="003847DA">
        <w:t xml:space="preserve"> </w:t>
      </w:r>
      <w:r w:rsidRPr="003847DA">
        <w:rPr>
          <w:b/>
          <w:bCs/>
          <w:lang w:val="en-ID"/>
        </w:rPr>
        <w:t>1.</w:t>
      </w:r>
      <w:r w:rsidRPr="003847DA">
        <w:rPr>
          <w:lang w:val="en-ID"/>
        </w:rPr>
        <w:t xml:space="preserve"> </w:t>
      </w:r>
      <w:r w:rsidRPr="003847DA">
        <w:rPr>
          <w:b/>
          <w:lang w:val="id-ID"/>
        </w:rPr>
        <w:t>Introduction</w:t>
      </w:r>
      <w:r w:rsidRPr="003847DA">
        <w:rPr>
          <w:b/>
          <w:lang w:val="en-ID"/>
        </w:rPr>
        <w:t>, 2. T</w:t>
      </w:r>
      <w:r w:rsidRPr="003847DA">
        <w:rPr>
          <w:b/>
          <w:lang w:val="id-ID"/>
        </w:rPr>
        <w:t xml:space="preserve">he Comprehensive Theoretical Basis </w:t>
      </w:r>
      <w:r w:rsidRPr="003847DA">
        <w:rPr>
          <w:b/>
        </w:rPr>
        <w:t xml:space="preserve">and/or the </w:t>
      </w:r>
      <w:r w:rsidRPr="003847DA">
        <w:rPr>
          <w:b/>
          <w:lang w:val="id-ID"/>
        </w:rPr>
        <w:t>Proposed Method/Algorithm</w:t>
      </w:r>
      <w:r w:rsidRPr="003847DA">
        <w:rPr>
          <w:b/>
          <w:lang w:val="en-ID"/>
        </w:rPr>
        <w:t xml:space="preserve"> </w:t>
      </w:r>
      <w:r w:rsidRPr="003847DA">
        <w:rPr>
          <w:bCs/>
          <w:i/>
          <w:iCs/>
          <w:lang w:val="en-ID"/>
        </w:rPr>
        <w:t>(</w:t>
      </w:r>
      <w:r w:rsidR="00495667" w:rsidRPr="003847DA">
        <w:rPr>
          <w:bCs/>
          <w:i/>
          <w:iCs/>
          <w:lang w:val="en-ID"/>
        </w:rPr>
        <w:t>o</w:t>
      </w:r>
      <w:r w:rsidRPr="003847DA">
        <w:rPr>
          <w:bCs/>
          <w:i/>
          <w:iCs/>
          <w:lang w:val="en-ID"/>
        </w:rPr>
        <w:t>ptional)</w:t>
      </w:r>
      <w:r w:rsidRPr="003847DA">
        <w:rPr>
          <w:b/>
          <w:lang w:val="en-ID"/>
        </w:rPr>
        <w:t xml:space="preserve">, 3. </w:t>
      </w:r>
      <w:r w:rsidRPr="003847DA">
        <w:rPr>
          <w:b/>
          <w:lang w:val="id-ID"/>
        </w:rPr>
        <w:t>Method</w:t>
      </w:r>
      <w:r w:rsidRPr="003847DA">
        <w:rPr>
          <w:b/>
          <w:lang w:val="en-ID"/>
        </w:rPr>
        <w:t xml:space="preserve">, </w:t>
      </w:r>
      <w:r w:rsidRPr="003847DA">
        <w:rPr>
          <w:b/>
          <w:lang w:val="en-ID"/>
        </w:rPr>
        <w:br/>
        <w:t xml:space="preserve">4. </w:t>
      </w:r>
      <w:r w:rsidRPr="003847DA">
        <w:rPr>
          <w:b/>
          <w:lang w:val="id-ID"/>
        </w:rPr>
        <w:t xml:space="preserve">Results </w:t>
      </w:r>
      <w:r w:rsidRPr="003847DA">
        <w:rPr>
          <w:b/>
        </w:rPr>
        <w:t>a</w:t>
      </w:r>
      <w:r w:rsidRPr="003847DA">
        <w:rPr>
          <w:b/>
          <w:lang w:val="id-ID"/>
        </w:rPr>
        <w:t>nd Discussion</w:t>
      </w:r>
      <w:r w:rsidRPr="003847DA">
        <w:rPr>
          <w:b/>
          <w:lang w:val="en-ID"/>
        </w:rPr>
        <w:t xml:space="preserve">, and 5. </w:t>
      </w:r>
      <w:r w:rsidRPr="003847DA">
        <w:rPr>
          <w:b/>
          <w:lang w:val="id-ID"/>
        </w:rPr>
        <w:t>Conclusion</w:t>
      </w:r>
      <w:r w:rsidRPr="003847DA">
        <w:rPr>
          <w:b/>
        </w:rPr>
        <w:t xml:space="preserve">. </w:t>
      </w:r>
      <w:r w:rsidRPr="003847DA">
        <w:rPr>
          <w:bCs/>
        </w:rPr>
        <w:t xml:space="preserve">The structure is well-known as </w:t>
      </w:r>
      <w:proofErr w:type="spellStart"/>
      <w:r w:rsidRPr="003847DA">
        <w:rPr>
          <w:b/>
          <w:lang w:val="en-ID"/>
        </w:rPr>
        <w:t>IMRaD</w:t>
      </w:r>
      <w:proofErr w:type="spellEnd"/>
      <w:r w:rsidRPr="003847DA">
        <w:rPr>
          <w:bCs/>
          <w:lang w:val="en-ID"/>
        </w:rPr>
        <w:t xml:space="preserve"> style</w:t>
      </w:r>
      <w:r w:rsidRPr="003847DA">
        <w:rPr>
          <w:bCs/>
          <w:lang w:val="id-ID"/>
        </w:rPr>
        <w:t>.</w:t>
      </w:r>
      <w:r w:rsidRPr="003847DA">
        <w:rPr>
          <w:lang w:val="id-ID"/>
        </w:rPr>
        <w:t xml:space="preserve"> </w:t>
      </w:r>
    </w:p>
    <w:p w14:paraId="7D140D29" w14:textId="4B451932" w:rsidR="002C4131" w:rsidRPr="003847DA" w:rsidRDefault="002C4131" w:rsidP="002C4131">
      <w:pPr>
        <w:ind w:firstLine="720"/>
        <w:jc w:val="both"/>
        <w:rPr>
          <w:spacing w:val="-2"/>
          <w:lang w:val="id-ID"/>
        </w:rPr>
      </w:pPr>
      <w:bookmarkStart w:id="4" w:name="_Hlk80000697"/>
      <w:r w:rsidRPr="003847DA">
        <w:rPr>
          <w:spacing w:val="-2"/>
          <w:lang w:val="id-ID"/>
        </w:rPr>
        <w:t xml:space="preserve">Literature review that has been done author used in the section "INTRODUCTION" to explain </w:t>
      </w:r>
      <w:r w:rsidRPr="003847DA">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3847DA">
        <w:fldChar w:fldCharType="begin" w:fldLock="1"/>
      </w:r>
      <w:r w:rsidRPr="003847DA">
        <w:instrText>ADDIN CSL_CITATION {"citationItems":[{"id":"ITEM-1","itemData":{"DOI":"10.4997/JRCPE.2016.210","author":[{"dropping-particle":"","family":"Jeffrey","given":"D.","non-dropping-particle":"","parse-names":false,"suffix":""},{"dropping-particle":"","family":"Downie","given":"R.","non-dropping-particle":"","parse-names":false,"suffix":""}],"container-title":"Journal of the Royal College of Physicians of Edinburgh","id":"ITEM-1","issue":"2","issued":{"date-parts":[["2016"]]},"page":"107-112","title":"Empathy-Can it be taught?","type":"article-journal","volume":"46"},"uris":["http://www.mendeley.com/documents/?uuid=16d15c91-dd19-4ba6-84fe-aedb2d7d4196"]}],"mendeley":{"formattedCitation":"[2]","plainTextFormattedCitation":"[2]","previouslyFormattedCitation":"[2]"},"properties":{"noteIndex":0},"schema":"https://github.com/citation-style-language/schema/raw/master/csl-citation.json"}</w:instrText>
      </w:r>
      <w:r w:rsidRPr="003847DA">
        <w:fldChar w:fldCharType="separate"/>
      </w:r>
      <w:r w:rsidRPr="003847DA">
        <w:rPr>
          <w:noProof/>
        </w:rPr>
        <w:t>[2]</w:t>
      </w:r>
      <w:r w:rsidRPr="003847DA">
        <w:fldChar w:fldCharType="end"/>
      </w:r>
      <w:r w:rsidRPr="003847DA">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847DA">
        <w:rPr>
          <w:spacing w:val="-2"/>
        </w:rPr>
        <w:t xml:space="preserve">the theory and/or </w:t>
      </w:r>
      <w:r w:rsidRPr="003847DA">
        <w:rPr>
          <w:spacing w:val="-2"/>
          <w:lang w:val="id-ID"/>
        </w:rPr>
        <w:t>the proposed method</w:t>
      </w:r>
      <w:r w:rsidRPr="003847DA">
        <w:rPr>
          <w:spacing w:val="-2"/>
        </w:rPr>
        <w:t>/</w:t>
      </w:r>
      <w:r w:rsidRPr="003847DA">
        <w:rPr>
          <w:spacing w:val="-2"/>
          <w:lang w:val="id-ID"/>
        </w:rPr>
        <w:t xml:space="preserve">algorithm </w:t>
      </w:r>
      <w:bookmarkEnd w:id="3"/>
      <w:r w:rsidRPr="003847DA">
        <w:rPr>
          <w:spacing w:val="-2"/>
        </w:rPr>
        <w:fldChar w:fldCharType="begin" w:fldLock="1"/>
      </w:r>
      <w:r w:rsidRPr="003847DA">
        <w:rPr>
          <w:spacing w:val="-2"/>
        </w:rPr>
        <w:instrText>ADDIN CSL_CITATION {"citationItems":[{"id":"ITEM-1","itemData":{"DOI":"10.22219/kinetik.v3i4.703","author":[{"dropping-particle":"","family":"Azhar","given":"Y.","non-dropping-particle":"","parse-names":false,"suffix":""},{"dropping-particle":"","family":"Afdian","given":"R.","non-dropping-particle":"","parse-names":false,"suffix":""}],"container-title":"Kinetik","id":"ITEM-1","issue":"4","issued":{"date-parts":[["2018"]]},"page":"345-350","title":"Feature selection on pregnancy risk classification using C5.0 method","type":"article-journal","volume":"3"},"uris":["http://www.mendeley.com/documents/?uuid=b82df84d-4b3d-4b28-a98c-d8915fc3c2bd"]}],"mendeley":{"formattedCitation":"[4]","plainTextFormattedCitation":"[4]","previouslyFormattedCitation":"[4]"},"properties":{"noteIndex":0},"schema":"https://github.com/citation-style-language/schema/raw/master/csl-citation.json"}</w:instrText>
      </w:r>
      <w:r w:rsidRPr="003847DA">
        <w:rPr>
          <w:spacing w:val="-2"/>
        </w:rPr>
        <w:fldChar w:fldCharType="separate"/>
      </w:r>
      <w:r w:rsidRPr="003847DA">
        <w:rPr>
          <w:noProof/>
          <w:spacing w:val="-2"/>
        </w:rPr>
        <w:t>[4]</w:t>
      </w:r>
      <w:r w:rsidRPr="003847DA">
        <w:rPr>
          <w:spacing w:val="-2"/>
        </w:rPr>
        <w:fldChar w:fldCharType="end"/>
      </w:r>
      <w:r w:rsidRPr="003847DA">
        <w:rPr>
          <w:spacing w:val="-2"/>
          <w:lang w:val="id-ID"/>
        </w:rPr>
        <w:t>.</w:t>
      </w:r>
    </w:p>
    <w:bookmarkEnd w:id="4"/>
    <w:p w14:paraId="343C4CAB" w14:textId="77777777" w:rsidR="002C4131" w:rsidRPr="003847DA" w:rsidRDefault="002C4131" w:rsidP="004D3838">
      <w:pPr>
        <w:ind w:firstLine="720"/>
        <w:jc w:val="both"/>
      </w:pPr>
    </w:p>
    <w:p w14:paraId="6D0BF8E6" w14:textId="77777777" w:rsidR="00E619D6" w:rsidRPr="003847DA" w:rsidRDefault="00E619D6" w:rsidP="00E619D6">
      <w:pPr>
        <w:jc w:val="both"/>
      </w:pPr>
    </w:p>
    <w:p w14:paraId="7F5871EF" w14:textId="34E46237" w:rsidR="00E619D6" w:rsidRPr="003847DA" w:rsidRDefault="00E619D6" w:rsidP="00E619D6">
      <w:pPr>
        <w:numPr>
          <w:ilvl w:val="0"/>
          <w:numId w:val="15"/>
        </w:numPr>
        <w:tabs>
          <w:tab w:val="left" w:pos="426"/>
        </w:tabs>
        <w:ind w:left="426" w:hanging="426"/>
        <w:rPr>
          <w:b/>
          <w:bCs/>
          <w:lang w:val="id-ID"/>
        </w:rPr>
      </w:pPr>
      <w:r w:rsidRPr="003847DA">
        <w:rPr>
          <w:b/>
          <w:bCs/>
          <w:lang w:val="id-ID"/>
        </w:rPr>
        <w:t>METHOD</w:t>
      </w:r>
      <w:r w:rsidRPr="003847DA">
        <w:rPr>
          <w:b/>
          <w:bCs/>
        </w:rPr>
        <w:t xml:space="preserve"> (10 PT)</w:t>
      </w:r>
    </w:p>
    <w:p w14:paraId="0AC7D5E6" w14:textId="569F8CCE" w:rsidR="001028FB" w:rsidRPr="003847DA" w:rsidRDefault="00354A58" w:rsidP="001028FB">
      <w:pPr>
        <w:ind w:firstLine="720"/>
        <w:jc w:val="both"/>
        <w:rPr>
          <w:spacing w:val="-2"/>
        </w:rPr>
      </w:pPr>
      <w:bookmarkStart w:id="5" w:name="_Hlk78354310"/>
      <w:r w:rsidRPr="003847DA">
        <w:rPr>
          <w:spacing w:val="-2"/>
          <w:lang w:val="id-ID"/>
        </w:rPr>
        <w:t>Explaining</w:t>
      </w:r>
      <w:r w:rsidRPr="003847DA">
        <w:rPr>
          <w:lang w:val="id-ID"/>
        </w:rPr>
        <w:t xml:space="preserve"> research chronological, including research design, research procedure (in the form of algorithms, Pseudocode or </w:t>
      </w:r>
      <w:r w:rsidRPr="003847DA">
        <w:rPr>
          <w:spacing w:val="-2"/>
          <w:lang w:val="id-ID"/>
        </w:rPr>
        <w:t>other</w:t>
      </w:r>
      <w:r w:rsidRPr="003847DA">
        <w:rPr>
          <w:lang w:val="id-ID"/>
        </w:rPr>
        <w:t>), how to test and data acquisition</w:t>
      </w:r>
      <w:r w:rsidRPr="003847DA">
        <w:t xml:space="preserve"> </w:t>
      </w:r>
      <w:r w:rsidR="004D3838" w:rsidRPr="003847DA">
        <w:fldChar w:fldCharType="begin" w:fldLock="1"/>
      </w:r>
      <w:r w:rsidR="004D3838" w:rsidRPr="003847DA">
        <w:instrText>ADDIN CSL_CITATION {"citationItems":[{"id":"ITEM-1","itemData":{"DOI":"10.1016/j.vaccine.2017.05.002","author":[{"dropping-particle":"","family":"Buckingham","given":"Lindsey","non-dropping-particle":"","parse-names":false,"suffix":""},{"dropping-particle":"","family":"Becher","given":"Julie","non-dropping-particle":"","parse-names":false,"suffix":""},{"dropping-particle":"","family":"Voytek","given":"Chelsea D.","non-dropping-particle":"","parse-names":false,"suffix":""},{"dropping-particle":"","family":"Fiore","given":"Danielle","non-dropping-particle":"","parse-names":false,"suffix":""},{"dropping-particle":"","family":"Dunbar","given":"Debore","non-dropping-particle":"","parse-names":false,"suffix":""},{"dropping-particle":"","family":"Davis-Vogel","given":"Annet","non-dropping-particle":"","parse-names":false,"suffix":""},{"dropping-particle":"","family":"Metzger","given":"David S.","non-dropping-particle":"","parse-names":false,"suffix":""},{"dropping-particle":"","family":"Frank","given":"Ian","non-dropping-particle":"","parse-names":false,"suffix":""}],"container-title":"Vaccine","id":"ITEM-1","issue":"27","issued":{"date-parts":[["2017"]]},"page":"3498–3505","title":"Going Social: Success in Online Recruitment of Men Who Have Sex with Men for Prevention HIV Vaccine Research","type":"article-journal","volume":"35"},"uris":["http://www.mendeley.com/documents/?uuid=cbd3095c-2d92-4fa8-a7d6-f2b32016149c"]},{"id":"ITEM-2","itemData":{"DOI":"10.1371/journal.pone.0158450","author":[{"dropping-particle":"","family":"Bian","given":"Jiang","non-dropping-particle":"","parse-names":false,"suffix":""},{"dropping-particle":"","family":"Yoshigoe","given":"Kenji","non-dropping-particle":"","parse-names":false,"suffix":""},{"dropping-particle":"","family":"Hicks","given":"Amanda","non-dropping-particle":"","parse-names":false,"suffix":""},{"dropping-particle":"","family":"Yuan","given":"Jiawei","non-dropping-particle":"","parse-names":false,"suffix":""},{"dropping-particle":"","family":"He","given":"Zhe","non-dropping-particle":"","parse-names":false,"suffix":""},{"dropping-particle":"","family":"Xie","given":"Mengjun","non-dropping-particle":"","parse-names":false,"suffix":""},{"dropping-particle":"","family":"Guo","given":"Yi","non-dropping-particle":"","parse-names":false,"suffix":""},{"dropping-particle":"","family":"Prosperi","given":"Mattia","non-dropping-particle":"","parse-names":false,"suffix":""},{"dropping-particle":"","family":"Salloum","given":"Ramzi","non-dropping-particle":"","parse-names":false,"suffix":""},{"dropping-particle":"","family":"Modave","given":"François","non-dropping-particle":"","parse-names":false,"suffix":""}],"container-title":"PLoS ONE","id":"ITEM-2","issue":"7","issued":{"date-parts":[["2016"]]},"title":"Mining Twitter to Assess the Public Perception of the “Internet of Things”","type":"article-journal","volume":"11"},"uris":["http://www.mendeley.com/documents/?uuid=07d3e80c-047f-41f7-9cfb-01097946865b"]},{"id":"ITEM-3","itemData":{"DOI":"10.1109/HealthCom46333.2019.9009439","author":[{"dropping-particle":"","family":"Valter","given":"Raimundo","non-dropping-particle":"","parse-names":false,"suffix":""},{"dropping-particle":"","family":"Santiago","given":"Silas","non-dropping-particle":"","parse-names":false,"suffix":""},{"dropping-particle":"","family":"Ramos","given":"Ronaldo","non-dropping-particle":"","parse-names":false,"suffix":""},{"dropping-particle":"","family":"Oliveira","given":"Mauro","non-dropping-particle":"","parse-names":false,"suffix":""},{"dropping-particle":"","family":"Andrade","given":"Luis Odorico M.","non-dropping-particle":"","parse-names":false,"suffix":""},{"dropping-particle":"","family":"Barreto","given":"Ivana Cristina de H. C.","non-dropping-particle":"","parse-names":false,"suffix":""}],"container-title":"2019 IEEE International Conference on E-health Networking, Application &amp; Services (HealthCom)","id":"ITEM-3","issued":{"date-parts":[["2019"]]},"publisher":"IEEE","title":"Data Mining and Risk Analysis Supporting Decision in Brazilian Public Health Systems","type":"paper-conference"},"uris":["http://www.mendeley.com/documents/?uuid=810d8568-600a-4323-97bd-0bf630cf6646"]}],"mendeley":{"formattedCitation":"[5]–[7]","plainTextFormattedCitation":"[5]–[7]","previouslyFormattedCitation":"[5]–[7]"},"properties":{"noteIndex":0},"schema":"https://github.com/citation-style-language/schema/raw/master/csl-citation.json"}</w:instrText>
      </w:r>
      <w:r w:rsidR="004D3838" w:rsidRPr="003847DA">
        <w:fldChar w:fldCharType="separate"/>
      </w:r>
      <w:r w:rsidR="004D3838" w:rsidRPr="003847DA">
        <w:rPr>
          <w:noProof/>
        </w:rPr>
        <w:t>[5]–[7]</w:t>
      </w:r>
      <w:r w:rsidR="004D3838" w:rsidRPr="003847DA">
        <w:fldChar w:fldCharType="end"/>
      </w:r>
      <w:r w:rsidR="004D3838" w:rsidRPr="003847DA">
        <w:rPr>
          <w:lang w:val="id-ID"/>
        </w:rPr>
        <w:t>. The description of the course of research should be supported references, so the explanation can be accepted scientifically</w:t>
      </w:r>
      <w:r w:rsidR="004D3838" w:rsidRPr="003847DA">
        <w:t xml:space="preserve"> </w:t>
      </w:r>
      <w:r w:rsidR="004D3838" w:rsidRPr="003847DA">
        <w:fldChar w:fldCharType="begin" w:fldLock="1"/>
      </w:r>
      <w:r w:rsidR="004D3838" w:rsidRPr="003847DA">
        <w:instrText>ADDIN CSL_CITATION {"citationItems":[{"id":"ITEM-1","itemData":{"DOI":"10.1109/MEMB.2008.929887","author":[{"dropping-particle":"","family":"Mathews","given":"R.","non-dropping-particle":"","parse-names":false,"suffix":""},{"dropping-particle":"","family":"Spencer","given":"C. M.","non-dropping-particle":"","parse-names":false,"suffix":""}],"container-title":"IEEE Engineering in Medicine and Biology Magazine","id":"ITEM-1","issue":"6","issued":{"date-parts":[["2008"]]},"page":"42-53","title":"National security strategy for U.S. water","type":"article-journal","volume":"27"},"uris":["http://www.mendeley.com/documents/?uuid=bcb10c7f-f01e-4cd3-80fc-bf883c09b6ce"]}],"mendeley":{"formattedCitation":"[3]","plainTextFormattedCitation":"[3]","previouslyFormattedCitation":"[3]"},"properties":{"noteIndex":0},"schema":"https://github.com/citation-style-language/schema/raw/master/csl-citation.json"}</w:instrText>
      </w:r>
      <w:r w:rsidR="004D3838" w:rsidRPr="003847DA">
        <w:fldChar w:fldCharType="separate"/>
      </w:r>
      <w:r w:rsidR="004D3838" w:rsidRPr="003847DA">
        <w:rPr>
          <w:noProof/>
        </w:rPr>
        <w:t>[3]</w:t>
      </w:r>
      <w:r w:rsidR="004D3838" w:rsidRPr="003847DA">
        <w:fldChar w:fldCharType="end"/>
      </w:r>
      <w:r w:rsidR="004D3838" w:rsidRPr="003847DA">
        <w:t xml:space="preserve">, </w:t>
      </w:r>
      <w:r w:rsidR="004D3838" w:rsidRPr="003847DA">
        <w:fldChar w:fldCharType="begin" w:fldLock="1"/>
      </w:r>
      <w:r w:rsidR="004D3838" w:rsidRPr="003847DA">
        <w:instrText>ADDIN CSL_CITATION {"citationItems":[{"id":"ITEM-1","itemData":{"DOI":"10.22219/kinetik.v3i4.703","author":[{"dropping-particle":"","family":"Azhar","given":"Y.","non-dropping-particle":"","parse-names":false,"suffix":""},{"dropping-particle":"","family":"Afdian","given":"R.","non-dropping-particle":"","parse-names":false,"suffix":""}],"container-title":"Kinetik","id":"ITEM-1","issue":"4","issued":{"date-parts":[["2018"]]},"page":"345-350","title":"Feature selection on pregnancy risk classification using C5.0 method","type":"article-journal","volume":"3"},"uris":["http://www.mendeley.com/documents/?uuid=b82df84d-4b3d-4b28-a98c-d8915fc3c2bd"]}],"mendeley":{"formattedCitation":"[4]","plainTextFormattedCitation":"[4]","previouslyFormattedCitation":"[4]"},"properties":{"noteIndex":0},"schema":"https://github.com/citation-style-language/schema/raw/master/csl-citation.json"}</w:instrText>
      </w:r>
      <w:r w:rsidR="004D3838" w:rsidRPr="003847DA">
        <w:fldChar w:fldCharType="separate"/>
      </w:r>
      <w:r w:rsidR="004D3838" w:rsidRPr="003847DA">
        <w:rPr>
          <w:noProof/>
        </w:rPr>
        <w:t>[4]</w:t>
      </w:r>
      <w:r w:rsidR="004D3838" w:rsidRPr="003847DA">
        <w:fldChar w:fldCharType="end"/>
      </w:r>
      <w:r w:rsidR="004D3838" w:rsidRPr="003847DA">
        <w:t xml:space="preserve"> </w:t>
      </w:r>
      <w:r w:rsidR="004D3838" w:rsidRPr="003847DA">
        <w:rPr>
          <w:lang w:val="id-ID"/>
        </w:rPr>
        <w:t>Figures</w:t>
      </w:r>
      <w:r w:rsidR="004D3838" w:rsidRPr="003847DA">
        <w:t xml:space="preserve"> 1-2</w:t>
      </w:r>
      <w:r w:rsidR="004D3838" w:rsidRPr="003847DA">
        <w:rPr>
          <w:lang w:val="id-ID"/>
        </w:rPr>
        <w:t xml:space="preserve"> and</w:t>
      </w:r>
      <w:r w:rsidR="004D3838" w:rsidRPr="003847DA">
        <w:t xml:space="preserve"> </w:t>
      </w:r>
      <w:r w:rsidR="004D3838" w:rsidRPr="003847DA">
        <w:rPr>
          <w:lang w:val="id-ID"/>
        </w:rPr>
        <w:t>Table</w:t>
      </w:r>
      <w:r w:rsidR="004D3838" w:rsidRPr="003847DA">
        <w:t xml:space="preserve"> 1</w:t>
      </w:r>
      <w:r w:rsidR="004D3838" w:rsidRPr="003847DA">
        <w:rPr>
          <w:lang w:val="id-ID"/>
        </w:rPr>
        <w:t xml:space="preserve"> are presented center, as shown below and cited in the manuscript</w:t>
      </w:r>
      <w:r w:rsidR="004D3838" w:rsidRPr="003847DA">
        <w:t xml:space="preserve"> </w:t>
      </w:r>
      <w:r w:rsidR="004D3838" w:rsidRPr="003847DA">
        <w:fldChar w:fldCharType="begin" w:fldLock="1"/>
      </w:r>
      <w:r w:rsidR="004D3838" w:rsidRPr="003847DA">
        <w:instrText>ADDIN CSL_CITATION {"citationItems":[{"id":"ITEM-1","itemData":{"DOI":"10.1016/j.vaccine.2017.05.002","author":[{"dropping-particle":"","family":"Buckingham","given":"Lindsey","non-dropping-particle":"","parse-names":false,"suffix":""},{"dropping-particle":"","family":"Becher","given":"Julie","non-dropping-particle":"","parse-names":false,"suffix":""},{"dropping-particle":"","family":"Voytek","given":"Chelsea D.","non-dropping-particle":"","parse-names":false,"suffix":""},{"dropping-particle":"","family":"Fiore","given":"Danielle","non-dropping-particle":"","parse-names":false,"suffix":""},{"dropping-particle":"","family":"Dunbar","given":"Debore","non-dropping-particle":"","parse-names":false,"suffix":""},{"dropping-particle":"","family":"Davis-Vogel","given":"Annet","non-dropping-particle":"","parse-names":false,"suffix":""},{"dropping-particle":"","family":"Metzger","given":"David S.","non-dropping-particle":"","parse-names":false,"suffix":""},{"dropping-particle":"","family":"Frank","given":"Ian","non-dropping-particle":"","parse-names":false,"suffix":""}],"container-title":"Vaccine","id":"ITEM-1","issue":"27","issued":{"date-parts":[["2017"]]},"page":"3498–3505","title":"Going Social: Success in Online Recruitment of Men Who Have Sex with Men for Prevention HIV Vaccine Research","type":"article-journal","volume":"35"},"uris":["http://www.mendeley.com/documents/?uuid=cbd3095c-2d92-4fa8-a7d6-f2b32016149c"]}],"mendeley":{"formattedCitation":"[5]","plainTextFormattedCitation":"[5]","previouslyFormattedCitation":"[5]"},"properties":{"noteIndex":0},"schema":"https://github.com/citation-style-language/schema/raw/master/csl-citation.json"}</w:instrText>
      </w:r>
      <w:r w:rsidR="004D3838" w:rsidRPr="003847DA">
        <w:fldChar w:fldCharType="separate"/>
      </w:r>
      <w:r w:rsidR="004D3838" w:rsidRPr="003847DA">
        <w:rPr>
          <w:noProof/>
        </w:rPr>
        <w:t>[5]</w:t>
      </w:r>
      <w:r w:rsidR="004D3838" w:rsidRPr="003847DA">
        <w:fldChar w:fldCharType="end"/>
      </w:r>
      <w:r w:rsidR="004D3838" w:rsidRPr="003847DA">
        <w:t xml:space="preserve">, </w:t>
      </w:r>
      <w:r w:rsidR="004D3838" w:rsidRPr="003847DA">
        <w:fldChar w:fldCharType="begin" w:fldLock="1"/>
      </w:r>
      <w:r w:rsidR="004D3838" w:rsidRPr="003847DA">
        <w:instrText>ADDIN CSL_CITATION {"citationItems":[{"id":"ITEM-1","itemData":{"DOI":"10.1109/ICIIBMS.2017.8279712","author":[{"dropping-particle":"","family":"Liu","given":"Y.","non-dropping-particle":"","parse-names":false,"suffix":""},{"dropping-particle":"","family":"Wu","given":"H.","non-dropping-particle":"","parse-names":false,"suffix":""}],"container-title":"International Conference on Intelligent Informatics and Biomedical Sciences (ICIIBMS)","id":"ITEM-1","issued":{"date-parts":[["2017"]]},"page":"45-48","title":"Water bloom warning model based on random forest","type":"paper-conference"},"uris":["http://www.mendeley.com/documents/?uuid=a4681c72-75b2-49dc-8438-051beff0e878"]},{"id":"ITEM-2","itemData":{"DOI":"10.4172/2573-0347.1000101","author":[{"dropping-particle":"","family":"Deki","given":"P.","non-dropping-particle":"","parse-names":false,"suffix":""}],"container-title":"Journal of Advanced Practices in Nursing","id":"ITEM-2","issue":"01","issued":{"date-parts":[["2016"]]},"page":"1-4","title":"Factors Affecting Early Childhood Growth and Development: Golden 1000 Days","type":"article-journal","volume":"01"},"uris":["http://www.mendeley.com/documents/?uuid=0feadb54-4a63-45ac-905d-9b24e07c7b84"]},{"id":"ITEM-3","itemData":{"DOI":"10.15680/IJIRSET.2016.0502136","author":[{"dropping-particle":"","family":"Nwankwo","given":"C.","non-dropping-particle":"","parse-names":false,"suffix":""},{"dropping-particle":"","family":"Ezenduka","given":"P.","non-dropping-particle":"","parse-names":false,"suffix":""},{"dropping-particle":"","family":"Chiejina","given":"E.","non-dropping-particle":"","parse-names":false,"suffix":""},{"dropping-particle":"","family":"Igwilo","given":"S.","non-dropping-particle":"","parse-names":false,"suffix":""}],"container-title":"Journal of Innovative Research in Science, Engineering and Technology (IJIRSET)","id":"ITEM-3","issue":"2","issued":{"date-parts":[["2016"]]},"page":"1914-1923","title":"Effect of maternal health education on the health attitude of pregnant motherss attending antenatal clinics in Anambraa State Nigeria","type":"article-journal","volume":"5"},"uris":["http://www.mendeley.com/documents/?uuid=7c779d95-511c-4e83-8450-73bd2a4f106a"]},{"id":"ITEM-4","itemData":{"DOI":"10.1177/193229681200600614","author":[{"dropping-particle":"","family":"Mohan","given":"Viswanathan","non-dropping-particle":"","parse-names":false,"suffix":""},{"dropping-particle":"","family":"Deepa","given":"Mohan","non-dropping-particle":"","parse-names":false,"suffix":""},{"dropping-particle":"","family":"Pradeepa","given":"Rajendra","non-dropping-particle":"","parse-names":false,"suffix":""},{"dropping-particle":"","family":"Prathiba","given":"Venkat","non-dropping-particle":"","parse-names":false,"suffix":""},{"dropping-particle":"","family":"Datta","given":"Manjula","non-dropping-particle":"","parse-names":false,"suffix":""},{"dropping-particle":"","family":"Sethuraman","given":"Ravikumar","non-dropping-particle":"","parse-names":false,"suffix":""},{"dropping-particle":"","family":"Rakesh","given":"Hari","non-dropping-particle":"","parse-names":false,"suffix":""},{"dropping-particle":"","family":"Sucharita","given":"Yarlagadda","non-dropping-particle":"","parse-names":false,"suffix":""},{"dropping-particle":"","family":"Webster","given":"Premila","non-dropping-particle":"","parse-names":false,"suffix":""},{"dropping-particle":"","family":"Allender","given":"Steven","non-dropping-particle":"","parse-names":false,"suffix":""},{"dropping-particle":"","family":"Kapur","given":"Anil","non-dropping-particle":"","parse-names":false,"suffix":""},{"dropping-particle":"","family":"Anjana","given":"Ranjit Mohan","non-dropping-particle":"","parse-names":false,"suffix":""}],"container-title":"Journal of Diabetes Science and Technology","id":"ITEM-4","issue":"6","issued":{"date-parts":[["2012"]]},"page":"1355-1364","title":"Prevention of diabetes in rural India with a telemedicine intervention","type":"article-journal","volume":"6"},"uris":["http://www.mendeley.com/documents/?uuid=9c37c134-0e49-4307-ad6c-f2325efb812f"]},{"id":"ITEM-5","itemData":{"DOI":"10.14341/DM7928","author":[{"dropping-particle":"V.","family":"Klimontov","given":"V.","non-dropping-particle":"","parse-names":false,"suffix":""},{"dropping-particle":"V.","family":"Tyan","given":"N.","non-dropping-particle":"","parse-names":false,"suffix":""},{"dropping-particle":"","family":"Fazullina","given":"O. N.","non-dropping-particle":"","parse-names":false,"suffix":""},{"dropping-particle":"","family":"Myakina","given":"N. E.","non-dropping-particle":"","parse-names":false,"suffix":""},{"dropping-particle":"","family":"Lykov","given":"A. P.","non-dropping-particle":"","parse-names":false,"suffix":""},{"dropping-particle":"","family":"Konenkov","given":"V. I.","non-dropping-particle":"","parse-names":false,"suffix":""}],"container-title":"Diabetes Mellitus","id":"ITEM-5","issue":"4","issued":{"date-parts":[["2016"]]},"page":"295-302","title":"Clinical and metabolic factors associated with chronic low-grade inflammation in type 2 diabetic patients","type":"article-journal","volume":"19"},"uris":["http://www.mendeley.com/documents/?uuid=315984d8-454c-488c-8c5a-f0df6094938b"]},{"id":"ITEM-6","itemData":{"DOI":"10.21147/j.issn.1000-9604.2016.06.01","author":[{"dropping-particle":"","family":"Feng","given":"M.","non-dropping-particle":"","parse-names":false,"suffix":""},{"dropping-particle":"","family":"Jia","given":"S.","non-dropping-particle":"","parse-names":false,"suffix":""}],"container-title":"Chinese Journal of Cancer Research","id":"ITEM-6","issue":"6","issued":{"date-parts":[["2016"]]},"page":"553-560","title":"Dual effect of WISP-1 in diverse pathological processes","type":"article-journal","volume":"28"},"uris":["http://www.mendeley.com/documents/?uuid=6e6a267f-f799-4879-be5d-d4e6d81a3588"]}],"mendeley":{"formattedCitation":"[8]–[13]","plainTextFormattedCitation":"[8]–[13]","previouslyFormattedCitation":"[8]–[13]"},"properties":{"noteIndex":0},"schema":"https://github.com/citation-style-language/schema/raw/master/csl-citation.json"}</w:instrText>
      </w:r>
      <w:r w:rsidR="004D3838" w:rsidRPr="003847DA">
        <w:fldChar w:fldCharType="separate"/>
      </w:r>
      <w:r w:rsidR="004D3838" w:rsidRPr="003847DA">
        <w:rPr>
          <w:noProof/>
        </w:rPr>
        <w:t>[8]–[13]</w:t>
      </w:r>
      <w:r w:rsidR="004D3838" w:rsidRPr="003847DA">
        <w:fldChar w:fldCharType="end"/>
      </w:r>
      <w:r w:rsidR="004D3838" w:rsidRPr="003847DA">
        <w:rPr>
          <w:lang w:val="id-ID"/>
        </w:rPr>
        <w:t xml:space="preserve">. </w:t>
      </w:r>
      <w:bookmarkStart w:id="6" w:name="_Hlk78354375"/>
      <w:r w:rsidR="00477091" w:rsidRPr="003847DA">
        <w:rPr>
          <w:spacing w:val="-2"/>
          <w:lang w:val="id-ID"/>
        </w:rPr>
        <w:t xml:space="preserve">Figure 2. </w:t>
      </w:r>
      <w:proofErr w:type="spellStart"/>
      <w:r w:rsidR="00477091" w:rsidRPr="003847DA">
        <w:rPr>
          <w:spacing w:val="-2"/>
        </w:rPr>
        <w:t>Religiousity</w:t>
      </w:r>
      <w:proofErr w:type="spellEnd"/>
      <w:r w:rsidR="00477091" w:rsidRPr="003847DA">
        <w:rPr>
          <w:spacing w:val="-2"/>
        </w:rPr>
        <w:t xml:space="preserve">, spirituality and subjective </w:t>
      </w:r>
      <w:proofErr w:type="spellStart"/>
      <w:r w:rsidR="00477091" w:rsidRPr="003847DA">
        <w:rPr>
          <w:spacing w:val="-2"/>
        </w:rPr>
        <w:t>well being</w:t>
      </w:r>
      <w:proofErr w:type="spellEnd"/>
      <w:r w:rsidR="00477091" w:rsidRPr="003847DA">
        <w:rPr>
          <w:spacing w:val="-2"/>
        </w:rPr>
        <w:t xml:space="preserve"> according sex</w:t>
      </w:r>
      <w:r w:rsidR="000F09BB" w:rsidRPr="003847DA">
        <w:rPr>
          <w:spacing w:val="-2"/>
        </w:rPr>
        <w:t>.</w:t>
      </w:r>
      <w:r w:rsidR="00477091" w:rsidRPr="003847DA">
        <w:rPr>
          <w:spacing w:val="-2"/>
        </w:rPr>
        <w:t xml:space="preserve"> </w:t>
      </w:r>
      <w:r w:rsidR="001028FB" w:rsidRPr="003847DA">
        <w:rPr>
          <w:spacing w:val="-2"/>
        </w:rPr>
        <w:t xml:space="preserve">The graph gender of </w:t>
      </w:r>
      <w:proofErr w:type="spellStart"/>
      <w:r w:rsidR="000F09BB" w:rsidRPr="003847DA">
        <w:rPr>
          <w:spacing w:val="-2"/>
        </w:rPr>
        <w:t>r</w:t>
      </w:r>
      <w:r w:rsidR="001028FB" w:rsidRPr="003847DA">
        <w:rPr>
          <w:spacing w:val="-2"/>
        </w:rPr>
        <w:t>eligiousity</w:t>
      </w:r>
      <w:proofErr w:type="spellEnd"/>
      <w:r w:rsidR="000F09BB" w:rsidRPr="003847DA">
        <w:rPr>
          <w:spacing w:val="-2"/>
        </w:rPr>
        <w:t xml:space="preserve"> has been illustrated in Figure 2(a) and </w:t>
      </w:r>
      <w:r w:rsidR="001028FB" w:rsidRPr="003847DA">
        <w:rPr>
          <w:spacing w:val="-2"/>
        </w:rPr>
        <w:t xml:space="preserve">graph of </w:t>
      </w:r>
      <w:proofErr w:type="spellStart"/>
      <w:r w:rsidR="001028FB" w:rsidRPr="003847DA">
        <w:rPr>
          <w:spacing w:val="-2"/>
        </w:rPr>
        <w:t>spiritualit</w:t>
      </w:r>
      <w:proofErr w:type="spellEnd"/>
      <w:r w:rsidR="000F09BB" w:rsidRPr="003847DA">
        <w:rPr>
          <w:spacing w:val="-2"/>
        </w:rPr>
        <w:t xml:space="preserve"> has been illustrated in Figure 2(b).</w:t>
      </w:r>
    </w:p>
    <w:p w14:paraId="39CE559B" w14:textId="1FDC4877" w:rsidR="00605D6F" w:rsidRPr="003847DA" w:rsidRDefault="00605D6F" w:rsidP="001028FB">
      <w:pPr>
        <w:jc w:val="both"/>
        <w:rPr>
          <w:b/>
          <w:bCs/>
          <w:szCs w:val="24"/>
        </w:rPr>
      </w:pPr>
    </w:p>
    <w:p w14:paraId="60D4C95B" w14:textId="42A429D8" w:rsidR="000F09BB" w:rsidRPr="003847DA" w:rsidRDefault="000F09BB" w:rsidP="001028FB">
      <w:pPr>
        <w:jc w:val="both"/>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643"/>
      </w:tblGrid>
      <w:tr w:rsidR="003847DA" w:rsidRPr="003847DA" w14:paraId="3FDC1328" w14:textId="77777777" w:rsidTr="00674B34">
        <w:tc>
          <w:tcPr>
            <w:tcW w:w="4361" w:type="dxa"/>
          </w:tcPr>
          <w:p w14:paraId="4F7D54A9" w14:textId="77777777" w:rsidR="000F09BB" w:rsidRPr="003847DA" w:rsidRDefault="000F09BB" w:rsidP="00674B34">
            <w:pPr>
              <w:jc w:val="center"/>
              <w:rPr>
                <w:b/>
                <w:bCs/>
              </w:rPr>
            </w:pPr>
            <w:r w:rsidRPr="003847DA">
              <w:rPr>
                <w:noProof/>
              </w:rPr>
              <w:drawing>
                <wp:inline distT="0" distB="0" distL="0" distR="0" wp14:anchorId="2321DDCB" wp14:editId="65467C9A">
                  <wp:extent cx="2657475" cy="28860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10" cstate="print"/>
                          <a:srcRect/>
                          <a:stretch>
                            <a:fillRect/>
                          </a:stretch>
                        </pic:blipFill>
                        <pic:spPr bwMode="auto">
                          <a:xfrm>
                            <a:off x="0" y="0"/>
                            <a:ext cx="2657475" cy="2886075"/>
                          </a:xfrm>
                          <a:prstGeom prst="rect">
                            <a:avLst/>
                          </a:prstGeom>
                          <a:noFill/>
                          <a:ln w="9525">
                            <a:noFill/>
                            <a:miter lim="800000"/>
                            <a:headEnd/>
                            <a:tailEnd/>
                          </a:ln>
                        </pic:spPr>
                      </pic:pic>
                    </a:graphicData>
                  </a:graphic>
                </wp:inline>
              </w:drawing>
            </w:r>
          </w:p>
        </w:tc>
        <w:tc>
          <w:tcPr>
            <w:tcW w:w="4643" w:type="dxa"/>
          </w:tcPr>
          <w:p w14:paraId="1625B6A2" w14:textId="77777777" w:rsidR="000F09BB" w:rsidRPr="003847DA" w:rsidRDefault="000F09BB" w:rsidP="00674B34">
            <w:pPr>
              <w:jc w:val="center"/>
              <w:rPr>
                <w:b/>
                <w:bCs/>
              </w:rPr>
            </w:pPr>
            <w:r w:rsidRPr="003847DA">
              <w:rPr>
                <w:noProof/>
              </w:rPr>
              <w:drawing>
                <wp:inline distT="0" distB="0" distL="0" distR="0" wp14:anchorId="5C270133" wp14:editId="5F65F8E3">
                  <wp:extent cx="2729865" cy="2886075"/>
                  <wp:effectExtent l="0" t="0" r="0" b="9525"/>
                  <wp:docPr id="23"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1" cstate="print"/>
                          <a:srcRect/>
                          <a:stretch>
                            <a:fillRect/>
                          </a:stretch>
                        </pic:blipFill>
                        <pic:spPr bwMode="auto">
                          <a:xfrm>
                            <a:off x="0" y="0"/>
                            <a:ext cx="2729865" cy="2886075"/>
                          </a:xfrm>
                          <a:prstGeom prst="rect">
                            <a:avLst/>
                          </a:prstGeom>
                          <a:noFill/>
                          <a:ln w="9525">
                            <a:noFill/>
                            <a:miter lim="800000"/>
                            <a:headEnd/>
                            <a:tailEnd/>
                          </a:ln>
                        </pic:spPr>
                      </pic:pic>
                    </a:graphicData>
                  </a:graphic>
                </wp:inline>
              </w:drawing>
            </w:r>
          </w:p>
        </w:tc>
      </w:tr>
      <w:tr w:rsidR="000F09BB" w:rsidRPr="003847DA" w14:paraId="2225B741" w14:textId="77777777" w:rsidTr="00674B34">
        <w:tc>
          <w:tcPr>
            <w:tcW w:w="4361" w:type="dxa"/>
          </w:tcPr>
          <w:p w14:paraId="78D7C91C" w14:textId="77777777" w:rsidR="000F09BB" w:rsidRPr="003847DA" w:rsidRDefault="000F09BB" w:rsidP="00674B34">
            <w:pPr>
              <w:jc w:val="center"/>
              <w:rPr>
                <w:b/>
                <w:bCs/>
                <w:lang w:val="en-GB"/>
              </w:rPr>
            </w:pPr>
            <w:r w:rsidRPr="003847DA">
              <w:rPr>
                <w:lang w:val="en-GB"/>
              </w:rPr>
              <w:t>(a)</w:t>
            </w:r>
          </w:p>
        </w:tc>
        <w:tc>
          <w:tcPr>
            <w:tcW w:w="4643" w:type="dxa"/>
          </w:tcPr>
          <w:p w14:paraId="094B2060" w14:textId="77777777" w:rsidR="000F09BB" w:rsidRPr="003847DA" w:rsidRDefault="000F09BB" w:rsidP="00674B34">
            <w:pPr>
              <w:jc w:val="center"/>
              <w:rPr>
                <w:b/>
                <w:bCs/>
                <w:lang w:val="en-GB"/>
              </w:rPr>
            </w:pPr>
            <w:r w:rsidRPr="003847DA">
              <w:rPr>
                <w:lang w:val="en-GB"/>
              </w:rPr>
              <w:t>(b)</w:t>
            </w:r>
          </w:p>
        </w:tc>
      </w:tr>
    </w:tbl>
    <w:p w14:paraId="1BF3EAD1" w14:textId="77777777" w:rsidR="000F09BB" w:rsidRPr="003847DA" w:rsidRDefault="000F09BB" w:rsidP="000F09BB">
      <w:pPr>
        <w:jc w:val="center"/>
        <w:rPr>
          <w:szCs w:val="16"/>
        </w:rPr>
      </w:pPr>
    </w:p>
    <w:p w14:paraId="77842239" w14:textId="28279BE2" w:rsidR="000F09BB" w:rsidRPr="003847DA" w:rsidRDefault="000F09BB" w:rsidP="000F09BB">
      <w:pPr>
        <w:jc w:val="center"/>
        <w:rPr>
          <w:spacing w:val="-2"/>
        </w:rPr>
      </w:pPr>
      <w:r w:rsidRPr="003847DA">
        <w:rPr>
          <w:spacing w:val="-2"/>
          <w:lang w:val="id-ID"/>
        </w:rPr>
        <w:t xml:space="preserve">Figure </w:t>
      </w:r>
      <w:r w:rsidRPr="003847DA">
        <w:rPr>
          <w:spacing w:val="-2"/>
        </w:rPr>
        <w:t>1</w:t>
      </w:r>
      <w:r w:rsidRPr="003847DA">
        <w:rPr>
          <w:spacing w:val="-2"/>
          <w:lang w:val="id-ID"/>
        </w:rPr>
        <w:t xml:space="preserve">. </w:t>
      </w:r>
      <w:proofErr w:type="spellStart"/>
      <w:r w:rsidRPr="003847DA">
        <w:rPr>
          <w:spacing w:val="-2"/>
        </w:rPr>
        <w:t>Religiousity</w:t>
      </w:r>
      <w:proofErr w:type="spellEnd"/>
      <w:r w:rsidRPr="003847DA">
        <w:rPr>
          <w:spacing w:val="-2"/>
        </w:rPr>
        <w:t xml:space="preserve">, spirituality and subjective </w:t>
      </w:r>
      <w:proofErr w:type="spellStart"/>
      <w:r w:rsidRPr="003847DA">
        <w:rPr>
          <w:spacing w:val="-2"/>
        </w:rPr>
        <w:t>well being</w:t>
      </w:r>
      <w:proofErr w:type="spellEnd"/>
      <w:r w:rsidRPr="003847DA">
        <w:rPr>
          <w:spacing w:val="-2"/>
        </w:rPr>
        <w:t xml:space="preserve"> according sex. </w:t>
      </w:r>
      <w:r w:rsidRPr="003847DA">
        <w:rPr>
          <w:spacing w:val="-2"/>
        </w:rPr>
        <w:br/>
        <w:t xml:space="preserve">The graph gender of (a) </w:t>
      </w:r>
      <w:proofErr w:type="spellStart"/>
      <w:r w:rsidRPr="003847DA">
        <w:rPr>
          <w:spacing w:val="-2"/>
        </w:rPr>
        <w:t>religiousity</w:t>
      </w:r>
      <w:proofErr w:type="spellEnd"/>
      <w:r w:rsidRPr="003847DA">
        <w:rPr>
          <w:spacing w:val="-2"/>
        </w:rPr>
        <w:t xml:space="preserve"> and (b) </w:t>
      </w:r>
      <w:proofErr w:type="spellStart"/>
      <w:r w:rsidRPr="003847DA">
        <w:rPr>
          <w:spacing w:val="-2"/>
        </w:rPr>
        <w:t>spiritualit</w:t>
      </w:r>
      <w:proofErr w:type="spellEnd"/>
    </w:p>
    <w:p w14:paraId="2EE62DF1" w14:textId="77777777" w:rsidR="000F09BB" w:rsidRPr="003847DA" w:rsidRDefault="000F09BB" w:rsidP="001028FB">
      <w:pPr>
        <w:jc w:val="both"/>
        <w:rPr>
          <w:b/>
          <w:bCs/>
          <w:szCs w:val="24"/>
        </w:rPr>
      </w:pPr>
    </w:p>
    <w:p w14:paraId="7160ED15" w14:textId="7C4DA96B" w:rsidR="00605D6F" w:rsidRPr="003847DA" w:rsidRDefault="00E361C3" w:rsidP="00605D6F">
      <w:pPr>
        <w:jc w:val="center"/>
        <w:rPr>
          <w:noProof/>
          <w:lang w:val="id-ID"/>
        </w:rPr>
      </w:pPr>
      <w:r w:rsidRPr="003847DA">
        <w:rPr>
          <w:noProof/>
          <w:bdr w:val="none" w:sz="0" w:space="0" w:color="auto" w:frame="1"/>
        </w:rPr>
        <w:lastRenderedPageBreak/>
        <w:drawing>
          <wp:inline distT="0" distB="0" distL="0" distR="0" wp14:anchorId="60C6C133" wp14:editId="250A8D7D">
            <wp:extent cx="3365210" cy="1695450"/>
            <wp:effectExtent l="0" t="0" r="6985" b="0"/>
            <wp:docPr id="9" name="Picture 9" descr="https://lh4.googleusercontent.com/EEUae7BhVaMejWYy_zcbZ623ghj7vHELUITdRfA0Lcpb3tyo46C6lu64k3nlFe0oJUc9HzaMQvFWdNiODtDENwqANOsytwEFmFn39i8MWBUQhUSSh0FlFAwoSdyJLrdJ6g77x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EUae7BhVaMejWYy_zcbZ623ghj7vHELUITdRfA0Lcpb3tyo46C6lu64k3nlFe0oJUc9HzaMQvFWdNiODtDENwqANOsytwEFmFn39i8MWBUQhUSSh0FlFAwoSdyJLrdJ6g77xg=s0"/>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372229" cy="1698986"/>
                    </a:xfrm>
                    <a:prstGeom prst="rect">
                      <a:avLst/>
                    </a:prstGeom>
                    <a:noFill/>
                    <a:ln>
                      <a:noFill/>
                    </a:ln>
                  </pic:spPr>
                </pic:pic>
              </a:graphicData>
            </a:graphic>
          </wp:inline>
        </w:drawing>
      </w:r>
    </w:p>
    <w:p w14:paraId="2E74340B" w14:textId="77777777" w:rsidR="00605D6F" w:rsidRPr="003847DA" w:rsidRDefault="00605D6F" w:rsidP="00605D6F">
      <w:pPr>
        <w:jc w:val="center"/>
        <w:rPr>
          <w:szCs w:val="24"/>
          <w:lang w:val="id-ID"/>
        </w:rPr>
      </w:pPr>
    </w:p>
    <w:p w14:paraId="68712A73" w14:textId="34212C30" w:rsidR="00605D6F" w:rsidRPr="003847DA" w:rsidRDefault="00605D6F" w:rsidP="001028FB">
      <w:pPr>
        <w:pStyle w:val="NormalWeb"/>
        <w:spacing w:before="0" w:beforeAutospacing="0" w:after="0" w:afterAutospacing="0"/>
        <w:jc w:val="center"/>
        <w:rPr>
          <w:sz w:val="20"/>
          <w:szCs w:val="20"/>
        </w:rPr>
      </w:pPr>
      <w:r w:rsidRPr="003847DA">
        <w:rPr>
          <w:sz w:val="20"/>
          <w:szCs w:val="20"/>
          <w:lang w:val="id-ID"/>
        </w:rPr>
        <w:t xml:space="preserve">Figure </w:t>
      </w:r>
      <w:r w:rsidR="000F09BB" w:rsidRPr="003847DA">
        <w:rPr>
          <w:sz w:val="20"/>
          <w:szCs w:val="20"/>
        </w:rPr>
        <w:t>2</w:t>
      </w:r>
      <w:r w:rsidRPr="003847DA">
        <w:rPr>
          <w:sz w:val="20"/>
          <w:szCs w:val="20"/>
          <w:lang w:val="id-ID"/>
        </w:rPr>
        <w:t xml:space="preserve">. </w:t>
      </w:r>
      <w:r w:rsidR="00E361C3" w:rsidRPr="003847DA">
        <w:rPr>
          <w:sz w:val="20"/>
          <w:szCs w:val="20"/>
        </w:rPr>
        <w:t>Modelling prevalence of teenage pregnancy 1961-2013</w:t>
      </w:r>
    </w:p>
    <w:bookmarkEnd w:id="6"/>
    <w:p w14:paraId="1B1B9AB8" w14:textId="77777777" w:rsidR="00E361C3" w:rsidRPr="003847DA" w:rsidRDefault="00E361C3" w:rsidP="00605D6F">
      <w:pPr>
        <w:jc w:val="center"/>
      </w:pPr>
    </w:p>
    <w:p w14:paraId="0D0B4031" w14:textId="77777777" w:rsidR="00E361C3" w:rsidRPr="003847DA" w:rsidRDefault="00E361C3" w:rsidP="00605D6F">
      <w:pPr>
        <w:jc w:val="center"/>
      </w:pPr>
    </w:p>
    <w:p w14:paraId="003D5FB9" w14:textId="77777777" w:rsidR="00605D6F" w:rsidRPr="003847DA" w:rsidRDefault="00605D6F" w:rsidP="00605D6F">
      <w:pPr>
        <w:jc w:val="center"/>
      </w:pPr>
      <w:r w:rsidRPr="003847DA">
        <w:t>Table 1. Sample distribution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51"/>
        <w:gridCol w:w="850"/>
        <w:gridCol w:w="621"/>
      </w:tblGrid>
      <w:tr w:rsidR="003847DA" w:rsidRPr="003847DA" w14:paraId="3B2C3E42" w14:textId="77777777" w:rsidTr="00EE468D">
        <w:trPr>
          <w:jc w:val="center"/>
        </w:trPr>
        <w:tc>
          <w:tcPr>
            <w:tcW w:w="283" w:type="dxa"/>
            <w:tcBorders>
              <w:top w:val="single" w:sz="4" w:space="0" w:color="auto"/>
              <w:left w:val="nil"/>
              <w:bottom w:val="single" w:sz="4" w:space="0" w:color="auto"/>
              <w:right w:val="nil"/>
            </w:tcBorders>
            <w:hideMark/>
          </w:tcPr>
          <w:p w14:paraId="4D8DEF02" w14:textId="77777777" w:rsidR="00605D6F" w:rsidRPr="003847DA" w:rsidRDefault="00605D6F" w:rsidP="00EE468D">
            <w:pPr>
              <w:rPr>
                <w:sz w:val="16"/>
                <w:szCs w:val="16"/>
              </w:rPr>
            </w:pPr>
            <w:r w:rsidRPr="003847DA">
              <w:rPr>
                <w:sz w:val="16"/>
                <w:szCs w:val="16"/>
              </w:rPr>
              <w:t>Case</w:t>
            </w:r>
          </w:p>
        </w:tc>
        <w:tc>
          <w:tcPr>
            <w:tcW w:w="851" w:type="dxa"/>
            <w:tcBorders>
              <w:top w:val="single" w:sz="4" w:space="0" w:color="auto"/>
              <w:left w:val="nil"/>
              <w:bottom w:val="single" w:sz="4" w:space="0" w:color="auto"/>
              <w:right w:val="nil"/>
            </w:tcBorders>
            <w:hideMark/>
          </w:tcPr>
          <w:p w14:paraId="5916FF69" w14:textId="77777777" w:rsidR="00605D6F" w:rsidRPr="003847DA" w:rsidRDefault="00605D6F" w:rsidP="00EE468D">
            <w:pPr>
              <w:rPr>
                <w:sz w:val="16"/>
                <w:szCs w:val="16"/>
              </w:rPr>
            </w:pPr>
            <w:r w:rsidRPr="003847DA">
              <w:rPr>
                <w:sz w:val="16"/>
                <w:szCs w:val="16"/>
              </w:rPr>
              <w:t>Bangkok</w:t>
            </w:r>
          </w:p>
        </w:tc>
        <w:tc>
          <w:tcPr>
            <w:tcW w:w="850" w:type="dxa"/>
            <w:tcBorders>
              <w:top w:val="single" w:sz="4" w:space="0" w:color="auto"/>
              <w:left w:val="nil"/>
              <w:bottom w:val="single" w:sz="4" w:space="0" w:color="auto"/>
              <w:right w:val="nil"/>
            </w:tcBorders>
            <w:hideMark/>
          </w:tcPr>
          <w:p w14:paraId="625145A5" w14:textId="77777777" w:rsidR="00605D6F" w:rsidRPr="003847DA" w:rsidRDefault="00605D6F" w:rsidP="00EE468D">
            <w:pPr>
              <w:rPr>
                <w:sz w:val="16"/>
                <w:szCs w:val="16"/>
              </w:rPr>
            </w:pPr>
            <w:r w:rsidRPr="003847DA">
              <w:rPr>
                <w:sz w:val="16"/>
                <w:szCs w:val="16"/>
              </w:rPr>
              <w:t>Surabaya</w:t>
            </w:r>
          </w:p>
        </w:tc>
        <w:tc>
          <w:tcPr>
            <w:tcW w:w="621" w:type="dxa"/>
            <w:tcBorders>
              <w:top w:val="single" w:sz="4" w:space="0" w:color="auto"/>
              <w:left w:val="nil"/>
              <w:bottom w:val="single" w:sz="4" w:space="0" w:color="auto"/>
              <w:right w:val="nil"/>
            </w:tcBorders>
            <w:hideMark/>
          </w:tcPr>
          <w:p w14:paraId="62E9B75C" w14:textId="77777777" w:rsidR="00605D6F" w:rsidRPr="003847DA" w:rsidRDefault="00605D6F" w:rsidP="00EE468D">
            <w:pPr>
              <w:rPr>
                <w:sz w:val="16"/>
                <w:szCs w:val="16"/>
              </w:rPr>
            </w:pPr>
            <w:r w:rsidRPr="003847DA">
              <w:rPr>
                <w:sz w:val="16"/>
                <w:szCs w:val="16"/>
              </w:rPr>
              <w:t>Total</w:t>
            </w:r>
          </w:p>
        </w:tc>
      </w:tr>
      <w:tr w:rsidR="003847DA" w:rsidRPr="003847DA" w14:paraId="6288C615" w14:textId="77777777" w:rsidTr="00EE468D">
        <w:trPr>
          <w:jc w:val="center"/>
        </w:trPr>
        <w:tc>
          <w:tcPr>
            <w:tcW w:w="283" w:type="dxa"/>
            <w:tcBorders>
              <w:top w:val="single" w:sz="4" w:space="0" w:color="auto"/>
              <w:left w:val="nil"/>
              <w:bottom w:val="nil"/>
              <w:right w:val="nil"/>
            </w:tcBorders>
            <w:hideMark/>
          </w:tcPr>
          <w:p w14:paraId="2B5D2ACB" w14:textId="77777777" w:rsidR="00605D6F" w:rsidRPr="003847DA" w:rsidRDefault="00605D6F" w:rsidP="00EE468D">
            <w:pPr>
              <w:rPr>
                <w:sz w:val="16"/>
                <w:szCs w:val="16"/>
              </w:rPr>
            </w:pPr>
            <w:r w:rsidRPr="003847DA">
              <w:rPr>
                <w:sz w:val="16"/>
                <w:szCs w:val="16"/>
              </w:rPr>
              <w:t>DM</w:t>
            </w:r>
          </w:p>
        </w:tc>
        <w:tc>
          <w:tcPr>
            <w:tcW w:w="851" w:type="dxa"/>
            <w:tcBorders>
              <w:top w:val="single" w:sz="4" w:space="0" w:color="auto"/>
              <w:left w:val="nil"/>
              <w:bottom w:val="nil"/>
              <w:right w:val="nil"/>
            </w:tcBorders>
            <w:hideMark/>
          </w:tcPr>
          <w:p w14:paraId="303F65CB" w14:textId="77777777" w:rsidR="00605D6F" w:rsidRPr="003847DA" w:rsidRDefault="00605D6F" w:rsidP="00EE468D">
            <w:pPr>
              <w:rPr>
                <w:sz w:val="16"/>
                <w:szCs w:val="16"/>
              </w:rPr>
            </w:pPr>
            <w:r w:rsidRPr="003847DA">
              <w:rPr>
                <w:sz w:val="16"/>
                <w:szCs w:val="16"/>
              </w:rPr>
              <w:t>30</w:t>
            </w:r>
          </w:p>
        </w:tc>
        <w:tc>
          <w:tcPr>
            <w:tcW w:w="850" w:type="dxa"/>
            <w:tcBorders>
              <w:top w:val="single" w:sz="4" w:space="0" w:color="auto"/>
              <w:left w:val="nil"/>
              <w:bottom w:val="nil"/>
              <w:right w:val="nil"/>
            </w:tcBorders>
            <w:hideMark/>
          </w:tcPr>
          <w:p w14:paraId="0B30F17E" w14:textId="77777777" w:rsidR="00605D6F" w:rsidRPr="003847DA" w:rsidRDefault="00605D6F" w:rsidP="00EE468D">
            <w:pPr>
              <w:rPr>
                <w:sz w:val="16"/>
                <w:szCs w:val="16"/>
              </w:rPr>
            </w:pPr>
            <w:r w:rsidRPr="003847DA">
              <w:rPr>
                <w:sz w:val="16"/>
                <w:szCs w:val="16"/>
              </w:rPr>
              <w:t>30</w:t>
            </w:r>
          </w:p>
        </w:tc>
        <w:tc>
          <w:tcPr>
            <w:tcW w:w="621" w:type="dxa"/>
            <w:tcBorders>
              <w:top w:val="single" w:sz="4" w:space="0" w:color="auto"/>
              <w:left w:val="nil"/>
              <w:bottom w:val="nil"/>
              <w:right w:val="nil"/>
            </w:tcBorders>
            <w:hideMark/>
          </w:tcPr>
          <w:p w14:paraId="6FAD32F5" w14:textId="77777777" w:rsidR="00605D6F" w:rsidRPr="003847DA" w:rsidRDefault="00605D6F" w:rsidP="00EE468D">
            <w:pPr>
              <w:rPr>
                <w:sz w:val="16"/>
                <w:szCs w:val="16"/>
              </w:rPr>
            </w:pPr>
            <w:r w:rsidRPr="003847DA">
              <w:rPr>
                <w:sz w:val="16"/>
                <w:szCs w:val="16"/>
              </w:rPr>
              <w:t>60</w:t>
            </w:r>
          </w:p>
        </w:tc>
      </w:tr>
      <w:tr w:rsidR="003847DA" w:rsidRPr="003847DA" w14:paraId="48839A4F" w14:textId="77777777" w:rsidTr="00EE468D">
        <w:trPr>
          <w:jc w:val="center"/>
        </w:trPr>
        <w:tc>
          <w:tcPr>
            <w:tcW w:w="283" w:type="dxa"/>
            <w:hideMark/>
          </w:tcPr>
          <w:p w14:paraId="3423EED1" w14:textId="77777777" w:rsidR="00605D6F" w:rsidRPr="003847DA" w:rsidRDefault="00605D6F" w:rsidP="00EE468D">
            <w:pPr>
              <w:rPr>
                <w:sz w:val="16"/>
                <w:szCs w:val="16"/>
              </w:rPr>
            </w:pPr>
            <w:r w:rsidRPr="003847DA">
              <w:rPr>
                <w:sz w:val="16"/>
                <w:szCs w:val="16"/>
              </w:rPr>
              <w:t>HT</w:t>
            </w:r>
          </w:p>
        </w:tc>
        <w:tc>
          <w:tcPr>
            <w:tcW w:w="851" w:type="dxa"/>
            <w:hideMark/>
          </w:tcPr>
          <w:p w14:paraId="618DA3F0" w14:textId="77777777" w:rsidR="00605D6F" w:rsidRPr="003847DA" w:rsidRDefault="00605D6F" w:rsidP="00EE468D">
            <w:pPr>
              <w:rPr>
                <w:sz w:val="16"/>
                <w:szCs w:val="16"/>
              </w:rPr>
            </w:pPr>
            <w:r w:rsidRPr="003847DA">
              <w:rPr>
                <w:sz w:val="16"/>
                <w:szCs w:val="16"/>
              </w:rPr>
              <w:t>35</w:t>
            </w:r>
          </w:p>
        </w:tc>
        <w:tc>
          <w:tcPr>
            <w:tcW w:w="850" w:type="dxa"/>
            <w:hideMark/>
          </w:tcPr>
          <w:p w14:paraId="11D70A21" w14:textId="77777777" w:rsidR="00605D6F" w:rsidRPr="003847DA" w:rsidRDefault="00605D6F" w:rsidP="00EE468D">
            <w:pPr>
              <w:rPr>
                <w:sz w:val="16"/>
                <w:szCs w:val="16"/>
              </w:rPr>
            </w:pPr>
            <w:r w:rsidRPr="003847DA">
              <w:rPr>
                <w:sz w:val="16"/>
                <w:szCs w:val="16"/>
              </w:rPr>
              <w:t>33</w:t>
            </w:r>
          </w:p>
        </w:tc>
        <w:tc>
          <w:tcPr>
            <w:tcW w:w="621" w:type="dxa"/>
            <w:hideMark/>
          </w:tcPr>
          <w:p w14:paraId="01AC4299" w14:textId="77777777" w:rsidR="00605D6F" w:rsidRPr="003847DA" w:rsidRDefault="00605D6F" w:rsidP="00EE468D">
            <w:pPr>
              <w:rPr>
                <w:sz w:val="16"/>
                <w:szCs w:val="16"/>
              </w:rPr>
            </w:pPr>
            <w:r w:rsidRPr="003847DA">
              <w:rPr>
                <w:sz w:val="16"/>
                <w:szCs w:val="16"/>
              </w:rPr>
              <w:t>68</w:t>
            </w:r>
          </w:p>
        </w:tc>
      </w:tr>
      <w:tr w:rsidR="003847DA" w:rsidRPr="003847DA" w14:paraId="5555EB02" w14:textId="77777777" w:rsidTr="00EE468D">
        <w:trPr>
          <w:jc w:val="center"/>
        </w:trPr>
        <w:tc>
          <w:tcPr>
            <w:tcW w:w="283" w:type="dxa"/>
            <w:hideMark/>
          </w:tcPr>
          <w:p w14:paraId="7BC3A16A" w14:textId="77777777" w:rsidR="00605D6F" w:rsidRPr="003847DA" w:rsidRDefault="00605D6F" w:rsidP="00EE468D">
            <w:pPr>
              <w:rPr>
                <w:sz w:val="16"/>
                <w:szCs w:val="16"/>
              </w:rPr>
            </w:pPr>
            <w:r w:rsidRPr="003847DA">
              <w:rPr>
                <w:sz w:val="16"/>
                <w:szCs w:val="16"/>
              </w:rPr>
              <w:t>DM&amp;HT</w:t>
            </w:r>
          </w:p>
        </w:tc>
        <w:tc>
          <w:tcPr>
            <w:tcW w:w="851" w:type="dxa"/>
            <w:hideMark/>
          </w:tcPr>
          <w:p w14:paraId="1B1452C0" w14:textId="77777777" w:rsidR="00605D6F" w:rsidRPr="003847DA" w:rsidRDefault="00605D6F" w:rsidP="00EE468D">
            <w:pPr>
              <w:rPr>
                <w:sz w:val="16"/>
                <w:szCs w:val="16"/>
              </w:rPr>
            </w:pPr>
            <w:r w:rsidRPr="003847DA">
              <w:rPr>
                <w:sz w:val="16"/>
                <w:szCs w:val="16"/>
              </w:rPr>
              <w:t>35</w:t>
            </w:r>
          </w:p>
        </w:tc>
        <w:tc>
          <w:tcPr>
            <w:tcW w:w="850" w:type="dxa"/>
            <w:hideMark/>
          </w:tcPr>
          <w:p w14:paraId="75B7514F" w14:textId="77777777" w:rsidR="00605D6F" w:rsidRPr="003847DA" w:rsidRDefault="00605D6F" w:rsidP="00EE468D">
            <w:pPr>
              <w:rPr>
                <w:sz w:val="16"/>
                <w:szCs w:val="16"/>
              </w:rPr>
            </w:pPr>
            <w:r w:rsidRPr="003847DA">
              <w:rPr>
                <w:sz w:val="16"/>
                <w:szCs w:val="16"/>
              </w:rPr>
              <w:t>33</w:t>
            </w:r>
          </w:p>
        </w:tc>
        <w:tc>
          <w:tcPr>
            <w:tcW w:w="621" w:type="dxa"/>
            <w:hideMark/>
          </w:tcPr>
          <w:p w14:paraId="14B7416F" w14:textId="77777777" w:rsidR="00605D6F" w:rsidRPr="003847DA" w:rsidRDefault="00605D6F" w:rsidP="00EE468D">
            <w:pPr>
              <w:rPr>
                <w:sz w:val="16"/>
                <w:szCs w:val="16"/>
              </w:rPr>
            </w:pPr>
            <w:r w:rsidRPr="003847DA">
              <w:rPr>
                <w:sz w:val="16"/>
                <w:szCs w:val="16"/>
              </w:rPr>
              <w:t>68</w:t>
            </w:r>
          </w:p>
        </w:tc>
      </w:tr>
      <w:tr w:rsidR="00605D6F" w:rsidRPr="003847DA" w14:paraId="27071A86" w14:textId="77777777" w:rsidTr="00EE468D">
        <w:trPr>
          <w:jc w:val="center"/>
        </w:trPr>
        <w:tc>
          <w:tcPr>
            <w:tcW w:w="283" w:type="dxa"/>
            <w:tcBorders>
              <w:top w:val="nil"/>
              <w:left w:val="nil"/>
              <w:bottom w:val="single" w:sz="4" w:space="0" w:color="auto"/>
              <w:right w:val="nil"/>
            </w:tcBorders>
            <w:hideMark/>
          </w:tcPr>
          <w:p w14:paraId="5C258198" w14:textId="77777777" w:rsidR="00605D6F" w:rsidRPr="003847DA" w:rsidRDefault="00605D6F" w:rsidP="00EE468D">
            <w:pPr>
              <w:rPr>
                <w:sz w:val="16"/>
                <w:szCs w:val="16"/>
              </w:rPr>
            </w:pPr>
            <w:r w:rsidRPr="003847DA">
              <w:rPr>
                <w:sz w:val="16"/>
                <w:szCs w:val="16"/>
              </w:rPr>
              <w:t>Total</w:t>
            </w:r>
          </w:p>
        </w:tc>
        <w:tc>
          <w:tcPr>
            <w:tcW w:w="851" w:type="dxa"/>
            <w:tcBorders>
              <w:top w:val="nil"/>
              <w:left w:val="nil"/>
              <w:bottom w:val="single" w:sz="4" w:space="0" w:color="auto"/>
              <w:right w:val="nil"/>
            </w:tcBorders>
            <w:hideMark/>
          </w:tcPr>
          <w:p w14:paraId="25E98434" w14:textId="77777777" w:rsidR="00605D6F" w:rsidRPr="003847DA" w:rsidRDefault="00605D6F" w:rsidP="00EE468D">
            <w:pPr>
              <w:rPr>
                <w:sz w:val="16"/>
                <w:szCs w:val="16"/>
              </w:rPr>
            </w:pPr>
            <w:r w:rsidRPr="003847DA">
              <w:rPr>
                <w:sz w:val="16"/>
                <w:szCs w:val="16"/>
              </w:rPr>
              <w:t>100</w:t>
            </w:r>
          </w:p>
        </w:tc>
        <w:tc>
          <w:tcPr>
            <w:tcW w:w="850" w:type="dxa"/>
            <w:tcBorders>
              <w:top w:val="nil"/>
              <w:left w:val="nil"/>
              <w:bottom w:val="single" w:sz="4" w:space="0" w:color="auto"/>
              <w:right w:val="nil"/>
            </w:tcBorders>
            <w:hideMark/>
          </w:tcPr>
          <w:p w14:paraId="0A818C85" w14:textId="77777777" w:rsidR="00605D6F" w:rsidRPr="003847DA" w:rsidRDefault="00605D6F" w:rsidP="00EE468D">
            <w:pPr>
              <w:rPr>
                <w:sz w:val="16"/>
                <w:szCs w:val="16"/>
              </w:rPr>
            </w:pPr>
            <w:r w:rsidRPr="003847DA">
              <w:rPr>
                <w:sz w:val="16"/>
                <w:szCs w:val="16"/>
              </w:rPr>
              <w:t>96</w:t>
            </w:r>
          </w:p>
        </w:tc>
        <w:tc>
          <w:tcPr>
            <w:tcW w:w="621" w:type="dxa"/>
            <w:tcBorders>
              <w:top w:val="nil"/>
              <w:left w:val="nil"/>
              <w:bottom w:val="single" w:sz="4" w:space="0" w:color="auto"/>
              <w:right w:val="nil"/>
            </w:tcBorders>
            <w:hideMark/>
          </w:tcPr>
          <w:p w14:paraId="26F884B0" w14:textId="77777777" w:rsidR="00605D6F" w:rsidRPr="003847DA" w:rsidRDefault="00605D6F" w:rsidP="00EE468D">
            <w:pPr>
              <w:rPr>
                <w:sz w:val="16"/>
                <w:szCs w:val="16"/>
              </w:rPr>
            </w:pPr>
            <w:r w:rsidRPr="003847DA">
              <w:rPr>
                <w:sz w:val="16"/>
                <w:szCs w:val="16"/>
              </w:rPr>
              <w:t>196</w:t>
            </w:r>
          </w:p>
        </w:tc>
      </w:tr>
      <w:bookmarkEnd w:id="5"/>
    </w:tbl>
    <w:p w14:paraId="06BC7700" w14:textId="0400D6FF" w:rsidR="0002123A" w:rsidRPr="003847DA" w:rsidRDefault="0002123A" w:rsidP="0002123A">
      <w:pPr>
        <w:tabs>
          <w:tab w:val="left" w:pos="426"/>
        </w:tabs>
        <w:rPr>
          <w:lang w:val="id-ID"/>
        </w:rPr>
      </w:pPr>
    </w:p>
    <w:p w14:paraId="2F44A21F" w14:textId="77777777" w:rsidR="0002123A" w:rsidRPr="003847DA" w:rsidRDefault="0002123A" w:rsidP="0002123A">
      <w:pPr>
        <w:tabs>
          <w:tab w:val="left" w:pos="426"/>
        </w:tabs>
        <w:rPr>
          <w:lang w:val="id-ID"/>
        </w:rPr>
      </w:pPr>
    </w:p>
    <w:p w14:paraId="52F942E6" w14:textId="00FD0BDB" w:rsidR="00E619D6" w:rsidRPr="003847DA" w:rsidRDefault="00E619D6" w:rsidP="00E619D6">
      <w:pPr>
        <w:numPr>
          <w:ilvl w:val="0"/>
          <w:numId w:val="15"/>
        </w:numPr>
        <w:tabs>
          <w:tab w:val="left" w:pos="426"/>
        </w:tabs>
        <w:ind w:left="426" w:hanging="426"/>
        <w:rPr>
          <w:b/>
          <w:bCs/>
          <w:lang w:val="id-ID"/>
        </w:rPr>
      </w:pPr>
      <w:r w:rsidRPr="003847DA">
        <w:rPr>
          <w:b/>
          <w:bCs/>
          <w:lang w:val="id-ID"/>
        </w:rPr>
        <w:t>RESULTS AND DISCUSSION</w:t>
      </w:r>
      <w:r w:rsidRPr="003847DA">
        <w:rPr>
          <w:b/>
          <w:bCs/>
        </w:rPr>
        <w:t xml:space="preserve"> (10 PT)</w:t>
      </w:r>
    </w:p>
    <w:p w14:paraId="3F885236" w14:textId="51E85DCA" w:rsidR="00E619D6" w:rsidRPr="003847DA" w:rsidRDefault="00E619D6" w:rsidP="00E619D6">
      <w:pPr>
        <w:ind w:firstLine="720"/>
        <w:jc w:val="both"/>
        <w:rPr>
          <w:lang w:val="id-ID"/>
        </w:rPr>
      </w:pPr>
      <w:r w:rsidRPr="003847DA">
        <w:rPr>
          <w:lang w:val="id-ID"/>
        </w:rPr>
        <w:t xml:space="preserve">In </w:t>
      </w:r>
      <w:r w:rsidR="00354A58" w:rsidRPr="003847DA">
        <w:rPr>
          <w:lang w:val="id-ID"/>
        </w:rPr>
        <w:t xml:space="preserve">this section, it is explained the results of research and at the same time is given </w:t>
      </w:r>
      <w:r w:rsidR="00354A58" w:rsidRPr="003847DA">
        <w:rPr>
          <w:lang w:val="id-ID"/>
        </w:rPr>
        <w:br/>
        <w:t xml:space="preserve">the comprehensive discussion. Results can be presented in figures, graphs, tables and others that make </w:t>
      </w:r>
      <w:r w:rsidR="00354A58" w:rsidRPr="003847DA">
        <w:rPr>
          <w:lang w:val="id-ID"/>
        </w:rPr>
        <w:br/>
        <w:t xml:space="preserve">the reader understand </w:t>
      </w:r>
      <w:r w:rsidR="00605D6F" w:rsidRPr="003847DA">
        <w:rPr>
          <w:lang w:val="id-ID"/>
        </w:rPr>
        <w:t>easily</w:t>
      </w:r>
      <w:r w:rsidR="00605D6F" w:rsidRPr="003847DA">
        <w:t xml:space="preserve"> </w:t>
      </w:r>
      <w:r w:rsidR="00605D6F" w:rsidRPr="003847DA">
        <w:fldChar w:fldCharType="begin" w:fldLock="1"/>
      </w:r>
      <w:r w:rsidR="00605D6F" w:rsidRPr="003847DA">
        <w:instrText>ADDIN CSL_CITATION {"citationItems":[{"id":"ITEM-1","itemData":{"DOI":"10.7551/mitpress/9780262014328.003.0007","author":[{"dropping-particle":"","family":"Hayes","given":"M. B.","non-dropping-particle":"","parse-names":false,"suffix":""},{"dropping-particle":"","family":"Aspray","given":"W.","non-dropping-particle":"","parse-names":false,"suffix":""}],"container-title":"Health Informatics: A Patient-Centered Approach to Diabetes","id":"ITEM-1","issued":{"date-parts":[["2010"]]},"page":"181-204","publisher":"MIT Press Scholarship","title":"Relational Agents for Chronic Disease Self-Management","type":"chapter"},"uris":["http://www.mendeley.com/documents/?uuid=812159f2-ded5-4e6a-9cf2-b989bfb7afee"]}],"mendeley":{"formattedCitation":"[14]","plainTextFormattedCitation":"[14]","previouslyFormattedCitation":"[14]"},"properties":{"noteIndex":0},"schema":"https://github.com/citation-style-language/schema/raw/master/csl-citation.json"}</w:instrText>
      </w:r>
      <w:r w:rsidR="00605D6F" w:rsidRPr="003847DA">
        <w:fldChar w:fldCharType="separate"/>
      </w:r>
      <w:r w:rsidR="00605D6F" w:rsidRPr="003847DA">
        <w:rPr>
          <w:noProof/>
        </w:rPr>
        <w:t>[14]</w:t>
      </w:r>
      <w:r w:rsidR="00605D6F" w:rsidRPr="003847DA">
        <w:fldChar w:fldCharType="end"/>
      </w:r>
      <w:r w:rsidR="00605D6F" w:rsidRPr="003847DA">
        <w:t xml:space="preserve">, </w:t>
      </w:r>
      <w:r w:rsidR="00605D6F" w:rsidRPr="003847DA">
        <w:fldChar w:fldCharType="begin" w:fldLock="1"/>
      </w:r>
      <w:r w:rsidR="00605D6F" w:rsidRPr="003847DA">
        <w:instrText>ADDIN CSL_CITATION {"citationItems":[{"id":"ITEM-1","itemData":{"DOI":"10.1210/js.2017-00108","author":[{"dropping-particle":"","family":"Barchetta","given":"Ilaria","non-dropping-particle":"","parse-names":false,"suffix":""},{"dropping-particle":"","family":"Cimini","given":"Flavia Agata","non-dropping-particle":"","parse-names":false,"suffix":""},{"dropping-particle":"","family":"Capoccia","given":"Danila","non-dropping-particle":"","parse-names":false,"suffix":""},{"dropping-particle":"De","family":"Gioannis","given":"Riccardo","non-dropping-particle":"","parse-names":false,"suffix":""},{"dropping-particle":"","family":"Porzia","given":"Alessandra","non-dropping-particle":"","parse-names":false,"suffix":""},{"dropping-particle":"","family":"Mainiero","given":"Fabrizio","non-dropping-particle":"","parse-names":false,"suffix":""},{"dropping-particle":"Di","family":"Martino","given":"Michele","non-dropping-particle":"","parse-names":false,"suffix":""},{"dropping-particle":"","family":"Bertoccini","given":"Laura","non-dropping-particle":"","parse-names":false,"suffix":""},{"dropping-particle":"De","family":"Bernardinis","given":"Marzia","non-dropping-particle":"","parse-names":false,"suffix":""},{"dropping-particle":"","family":"Leonetti","given":"Frida","non-dropping-particle":"","parse-names":false,"suffix":""},{"dropping-particle":"","family":"Baroni","given":"Marco Giorgio","non-dropping-particle":"","parse-names":false,"suffix":""},{"dropping-particle":"","family":"Lenzi","given":"Andrea","non-dropping-particle":"","parse-names":false,"suffix":""},{"dropping-particle":"","family":"Cavallo","given":"Maria Gisella","non-dropping-particle":"","parse-names":false,"suffix":""}],"container-title":"Journal of the Endocrine Society (JES)","id":"ITEM-1","issue":"6","issued":{"date-parts":[["2017"]]},"page":"660–670","title":"WISP1 Is a Marker of Systemic and Adipose Tissue Inflammation in Dysmetabolic Subjects With or Without Type 2 Diabetes","type":"article-journal","volume":"1"},"uris":["http://www.mendeley.com/documents/?uuid=7bb8deb1-7f70-4dbb-b61f-d2651807942f"]}],"mendeley":{"formattedCitation":"[15]","plainTextFormattedCitation":"[15]","previouslyFormattedCitation":"[15]"},"properties":{"noteIndex":0},"schema":"https://github.com/citation-style-language/schema/raw/master/csl-citation.json"}</w:instrText>
      </w:r>
      <w:r w:rsidR="00605D6F" w:rsidRPr="003847DA">
        <w:fldChar w:fldCharType="separate"/>
      </w:r>
      <w:r w:rsidR="00605D6F" w:rsidRPr="003847DA">
        <w:rPr>
          <w:noProof/>
        </w:rPr>
        <w:t>[15]</w:t>
      </w:r>
      <w:r w:rsidR="00605D6F" w:rsidRPr="003847DA">
        <w:fldChar w:fldCharType="end"/>
      </w:r>
      <w:r w:rsidR="00605D6F" w:rsidRPr="003847DA">
        <w:rPr>
          <w:lang w:val="id-ID"/>
        </w:rPr>
        <w:t xml:space="preserve">. </w:t>
      </w:r>
      <w:r w:rsidR="00354A58" w:rsidRPr="003847DA">
        <w:rPr>
          <w:lang w:val="id-ID"/>
        </w:rPr>
        <w:t xml:space="preserve">The discussion can be made in several </w:t>
      </w:r>
      <w:bookmarkStart w:id="7" w:name="_Hlk78354443"/>
      <w:r w:rsidR="00354A58" w:rsidRPr="003847DA">
        <w:rPr>
          <w:lang w:val="id-ID"/>
        </w:rPr>
        <w:t>sub-</w:t>
      </w:r>
      <w:r w:rsidR="00354A58" w:rsidRPr="003847DA">
        <w:t>sections</w:t>
      </w:r>
      <w:r w:rsidR="00354A58" w:rsidRPr="003847DA">
        <w:rPr>
          <w:lang w:val="id-ID"/>
        </w:rPr>
        <w:t>.</w:t>
      </w:r>
      <w:bookmarkEnd w:id="7"/>
    </w:p>
    <w:p w14:paraId="6BC6C798" w14:textId="77777777" w:rsidR="00E619D6" w:rsidRPr="003847DA" w:rsidRDefault="00E619D6" w:rsidP="00E619D6">
      <w:pPr>
        <w:ind w:firstLine="720"/>
        <w:jc w:val="both"/>
        <w:rPr>
          <w:lang w:val="id-ID"/>
        </w:rPr>
      </w:pPr>
    </w:p>
    <w:p w14:paraId="43E3F43A" w14:textId="77777777" w:rsidR="00E619D6" w:rsidRPr="003847DA" w:rsidRDefault="00E619D6" w:rsidP="00E619D6">
      <w:pPr>
        <w:rPr>
          <w:b/>
          <w:bCs/>
          <w:lang w:val="id-ID"/>
        </w:rPr>
      </w:pPr>
      <w:r w:rsidRPr="003847DA">
        <w:rPr>
          <w:b/>
          <w:bCs/>
          <w:lang w:val="id-ID"/>
        </w:rPr>
        <w:t xml:space="preserve">3.1. </w:t>
      </w:r>
      <w:r w:rsidRPr="003847DA">
        <w:rPr>
          <w:b/>
          <w:bCs/>
        </w:rPr>
        <w:t xml:space="preserve"> </w:t>
      </w:r>
      <w:r w:rsidRPr="003847DA">
        <w:rPr>
          <w:b/>
          <w:bCs/>
          <w:lang w:val="id-ID"/>
        </w:rPr>
        <w:t xml:space="preserve">Sub </w:t>
      </w:r>
      <w:r w:rsidRPr="003847DA">
        <w:rPr>
          <w:b/>
          <w:bCs/>
        </w:rPr>
        <w:t>section</w:t>
      </w:r>
      <w:r w:rsidRPr="003847DA">
        <w:rPr>
          <w:b/>
          <w:bCs/>
          <w:lang w:val="id-ID"/>
        </w:rPr>
        <w:t xml:space="preserve"> 1</w:t>
      </w:r>
    </w:p>
    <w:p w14:paraId="1B1D1F07" w14:textId="77777777" w:rsidR="00E619D6" w:rsidRPr="003847DA" w:rsidRDefault="00E619D6" w:rsidP="00E619D6">
      <w:pPr>
        <w:ind w:firstLine="709"/>
        <w:jc w:val="both"/>
        <w:rPr>
          <w:bCs/>
          <w:lang w:val="id-ID"/>
        </w:rPr>
      </w:pPr>
      <w:bookmarkStart w:id="8" w:name="_Hlk79140867"/>
      <w:r w:rsidRPr="003847DA">
        <w:rPr>
          <w:lang w:val="id-ID"/>
        </w:rPr>
        <w:t>Equations</w:t>
      </w:r>
      <w:r w:rsidRPr="003847DA">
        <w:rPr>
          <w:bCs/>
          <w:lang w:val="id-ID"/>
        </w:rPr>
        <w:t xml:space="preserve"> should be placed at the center of the line and provided consecutively with equation numbers</w:t>
      </w:r>
      <w:r w:rsidRPr="003847DA">
        <w:rPr>
          <w:bCs/>
        </w:rPr>
        <w:t xml:space="preserve"> </w:t>
      </w:r>
      <w:r w:rsidRPr="003847DA">
        <w:rPr>
          <w:bCs/>
          <w:lang w:val="id-ID"/>
        </w:rPr>
        <w:t xml:space="preserve">in </w:t>
      </w:r>
      <w:r w:rsidRPr="003847DA">
        <w:rPr>
          <w:lang w:val="id-ID"/>
        </w:rPr>
        <w:t>parentheses</w:t>
      </w:r>
      <w:r w:rsidRPr="003847DA">
        <w:rPr>
          <w:bCs/>
          <w:lang w:val="id-ID"/>
        </w:rPr>
        <w:t xml:space="preserve"> flushed to the right margin, as in (1). The use of Microsoft Equation Editor or MathType is</w:t>
      </w:r>
      <w:r w:rsidRPr="003847DA">
        <w:rPr>
          <w:bCs/>
        </w:rPr>
        <w:t xml:space="preserve"> </w:t>
      </w:r>
      <w:r w:rsidRPr="003847DA">
        <w:rPr>
          <w:bCs/>
          <w:lang w:val="id-ID"/>
        </w:rPr>
        <w:t>preferred.</w:t>
      </w:r>
      <w:bookmarkStart w:id="9" w:name="_Hlk79141485"/>
    </w:p>
    <w:p w14:paraId="473C0DBC" w14:textId="77777777" w:rsidR="00E619D6" w:rsidRPr="003847DA" w:rsidRDefault="00E619D6" w:rsidP="00E619D6">
      <w:pPr>
        <w:rPr>
          <w:bCs/>
          <w:lang w:val="id-ID"/>
        </w:rPr>
      </w:pPr>
    </w:p>
    <w:p w14:paraId="6A8C919A" w14:textId="0F6A48CC" w:rsidR="004F4003" w:rsidRPr="003847DA" w:rsidRDefault="009A61F3"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847DA">
        <w:rPr>
          <w:bCs/>
        </w:rPr>
        <w:t>)</w:t>
      </w:r>
      <w:r w:rsidR="00E619D6" w:rsidRPr="003847DA">
        <w:rPr>
          <w:bCs/>
        </w:rPr>
        <w:tab/>
        <w:t>(1)</w:t>
      </w:r>
    </w:p>
    <w:p w14:paraId="053DC32B" w14:textId="77777777" w:rsidR="00E619D6" w:rsidRPr="003847DA" w:rsidRDefault="00E619D6" w:rsidP="00E619D6">
      <w:pPr>
        <w:rPr>
          <w:bCs/>
          <w:lang w:val="id-ID"/>
        </w:rPr>
      </w:pPr>
    </w:p>
    <w:p w14:paraId="2D74FFB2" w14:textId="609F99FC" w:rsidR="00E619D6" w:rsidRPr="003847DA" w:rsidRDefault="00E619D6" w:rsidP="00E619D6">
      <w:pPr>
        <w:rPr>
          <w:bCs/>
          <w:lang w:val="id-ID"/>
        </w:rPr>
      </w:pPr>
      <w:r w:rsidRPr="003847DA">
        <w:rPr>
          <w:bCs/>
          <w:lang w:val="id-ID"/>
        </w:rPr>
        <w:t>All symbols that have</w:t>
      </w:r>
      <w:r w:rsidR="000F703D" w:rsidRPr="003847DA">
        <w:rPr>
          <w:bCs/>
        </w:rPr>
        <w:t xml:space="preserve"> been</w:t>
      </w:r>
      <w:r w:rsidRPr="003847DA">
        <w:rPr>
          <w:bCs/>
          <w:lang w:val="id-ID"/>
        </w:rPr>
        <w:t xml:space="preserve"> </w:t>
      </w:r>
      <w:r w:rsidR="000F703D" w:rsidRPr="003847DA">
        <w:rPr>
          <w:bCs/>
        </w:rPr>
        <w:t>used in the</w:t>
      </w:r>
      <w:r w:rsidRPr="003847DA">
        <w:rPr>
          <w:bCs/>
          <w:lang w:val="id-ID"/>
        </w:rPr>
        <w:t xml:space="preserve"> equation</w:t>
      </w:r>
      <w:r w:rsidR="000F703D" w:rsidRPr="003847DA">
        <w:rPr>
          <w:bCs/>
        </w:rPr>
        <w:t>s</w:t>
      </w:r>
      <w:r w:rsidRPr="003847DA">
        <w:rPr>
          <w:bCs/>
          <w:lang w:val="id-ID"/>
        </w:rPr>
        <w:t xml:space="preserve"> should be </w:t>
      </w:r>
      <w:r w:rsidR="000F703D" w:rsidRPr="003847DA">
        <w:rPr>
          <w:bCs/>
        </w:rPr>
        <w:t xml:space="preserve">defined </w:t>
      </w:r>
      <w:r w:rsidRPr="003847DA">
        <w:rPr>
          <w:bCs/>
          <w:lang w:val="id-ID"/>
        </w:rPr>
        <w:t>in the following text.</w:t>
      </w:r>
    </w:p>
    <w:bookmarkEnd w:id="8"/>
    <w:bookmarkEnd w:id="9"/>
    <w:p w14:paraId="7C82168B" w14:textId="77777777" w:rsidR="00E619D6" w:rsidRPr="003847DA" w:rsidRDefault="00E619D6" w:rsidP="00E619D6">
      <w:pPr>
        <w:rPr>
          <w:b/>
          <w:bCs/>
          <w:lang w:val="id-ID"/>
        </w:rPr>
      </w:pPr>
    </w:p>
    <w:p w14:paraId="25A7CC42" w14:textId="77777777" w:rsidR="00E619D6" w:rsidRPr="003847DA" w:rsidRDefault="00E619D6" w:rsidP="00E619D6">
      <w:pPr>
        <w:rPr>
          <w:b/>
          <w:bCs/>
          <w:lang w:val="id-ID"/>
        </w:rPr>
      </w:pPr>
      <w:r w:rsidRPr="003847DA">
        <w:rPr>
          <w:b/>
          <w:bCs/>
          <w:lang w:val="id-ID"/>
        </w:rPr>
        <w:t xml:space="preserve">3.2. </w:t>
      </w:r>
      <w:r w:rsidRPr="003847DA">
        <w:rPr>
          <w:b/>
          <w:bCs/>
        </w:rPr>
        <w:t xml:space="preserve"> </w:t>
      </w:r>
      <w:r w:rsidRPr="003847DA">
        <w:rPr>
          <w:b/>
          <w:bCs/>
          <w:lang w:val="id-ID"/>
        </w:rPr>
        <w:t xml:space="preserve">Sub </w:t>
      </w:r>
      <w:r w:rsidRPr="003847DA">
        <w:rPr>
          <w:b/>
          <w:bCs/>
        </w:rPr>
        <w:t>section</w:t>
      </w:r>
      <w:r w:rsidRPr="003847DA">
        <w:rPr>
          <w:b/>
          <w:bCs/>
          <w:lang w:val="id-ID"/>
        </w:rPr>
        <w:t xml:space="preserve"> 2</w:t>
      </w:r>
    </w:p>
    <w:p w14:paraId="35FE8DB8" w14:textId="0DFA4F3B" w:rsidR="00605D6F" w:rsidRPr="003847DA" w:rsidRDefault="00E619D6" w:rsidP="00605D6F">
      <w:pPr>
        <w:ind w:firstLine="720"/>
        <w:jc w:val="both"/>
        <w:rPr>
          <w:bCs/>
          <w:lang w:val="id-ID"/>
        </w:rPr>
      </w:pPr>
      <w:r w:rsidRPr="003847DA">
        <w:rPr>
          <w:bCs/>
          <w:lang w:val="id-ID"/>
        </w:rPr>
        <w:t>Proper citation of other works should be made to avoid plagiarism. When referring to a reference</w:t>
      </w:r>
      <w:r w:rsidRPr="003847DA">
        <w:rPr>
          <w:bCs/>
        </w:rPr>
        <w:t xml:space="preserve"> </w:t>
      </w:r>
      <w:r w:rsidRPr="003847DA">
        <w:rPr>
          <w:bCs/>
          <w:lang w:val="id-ID"/>
        </w:rPr>
        <w:t xml:space="preserve">item, please use the reference number as in </w:t>
      </w:r>
      <w:r w:rsidR="00605D6F" w:rsidRPr="003847DA">
        <w:rPr>
          <w:bCs/>
        </w:rPr>
        <w:fldChar w:fldCharType="begin" w:fldLock="1"/>
      </w:r>
      <w:r w:rsidR="00605D6F" w:rsidRPr="003847DA">
        <w:rPr>
          <w:bCs/>
        </w:rPr>
        <w:instrText>ADDIN CSL_CITATION {"citationItems":[{"id":"ITEM-1","itemData":{"DOI":"10.1109/JBHI.2017.2765639","author":[{"dropping-particle":"","family":"Zarkogianni","given":"K.","non-dropping-particle":"","parse-names":false,"suffix":""},{"dropping-particle":"","family":"Athanasiou","given":"M.","non-dropping-particle":"","parse-names":false,"suffix":""},{"dropping-particle":"","family":"Thanopoulou","given":"A. C.","non-dropping-particle":"","parse-names":false,"suffix":""},{"dropping-particle":"","family":"Nikita","given":"K. S.","non-dropping-particle":"","parse-names":false,"suffix":""}],"container-title":"IEEE Journal of Biomedical and Health Informatics","id":"ITEM-1","issue":"5","issued":{"date-parts":[["2018"]]},"title":"Comparison of Machine Learning Approaches Toward Assessing the Risk of Developing Cardiovascular Disease as a Long-Term Diabetes Complication","type":"article-journal","volume":"22"},"uris":["http://www.mendeley.com/documents/?uuid=f43f3415-ec24-4d6f-9e46-95cf40021d56"]}],"mendeley":{"formattedCitation":"[16]","plainTextFormattedCitation":"[16]","previouslyFormattedCitation":"[16]"},"properties":{"noteIndex":0},"schema":"https://github.com/citation-style-language/schema/raw/master/csl-citation.json"}</w:instrText>
      </w:r>
      <w:r w:rsidR="00605D6F" w:rsidRPr="003847DA">
        <w:rPr>
          <w:bCs/>
        </w:rPr>
        <w:fldChar w:fldCharType="separate"/>
      </w:r>
      <w:r w:rsidR="00605D6F" w:rsidRPr="003847DA">
        <w:rPr>
          <w:bCs/>
          <w:noProof/>
        </w:rPr>
        <w:t>[16]</w:t>
      </w:r>
      <w:r w:rsidR="00605D6F" w:rsidRPr="003847DA">
        <w:rPr>
          <w:bCs/>
        </w:rPr>
        <w:fldChar w:fldCharType="end"/>
      </w:r>
      <w:r w:rsidR="00605D6F" w:rsidRPr="003847DA">
        <w:rPr>
          <w:bCs/>
          <w:lang w:val="id-ID"/>
        </w:rPr>
        <w:t xml:space="preserve"> or </w:t>
      </w:r>
      <w:r w:rsidR="00605D6F" w:rsidRPr="003847DA">
        <w:rPr>
          <w:bCs/>
        </w:rPr>
        <w:fldChar w:fldCharType="begin" w:fldLock="1"/>
      </w:r>
      <w:r w:rsidR="00605D6F" w:rsidRPr="003847DA">
        <w:rPr>
          <w:bCs/>
        </w:rPr>
        <w:instrText>ADDIN CSL_CITATION {"citationItems":[{"id":"ITEM-1","itemData":{"DOI":"10.1109/IEMBS.2006.259482","author":[{"dropping-particle":"","family":"Nguyen","given":"H. T.","non-dropping-particle":"","parse-names":false,"suffix":""},{"dropping-particle":"","family":"Ghevondian","given":"N.","non-dropping-particle":"","parse-names":false,"suffix":""},{"dropping-particle":"","family":"Jones","given":"T. W.","non-dropping-particle":"","parse-names":false,"suffix":""}],"container-title":"2006 International Conference of the IEEE Engineering in Medicine and Biology Society","id":"ITEM-1","issued":{"date-parts":[["2006"]]},"page":"6053-6056","publisher-place":"New York, USA","title":"Neural-Network Detection of Hypoglycemic Episodes in Children with Type 1 Diabetes using Physiological Parameters","type":"paper-conference"},"uris":["http://www.mendeley.com/documents/?uuid=928c8d46-197d-463a-989f-5e458fed9403"]}],"mendeley":{"formattedCitation":"[17]","plainTextFormattedCitation":"[17]","previouslyFormattedCitation":"[17]"},"properties":{"noteIndex":0},"schema":"https://github.com/citation-style-language/schema/raw/master/csl-citation.json"}</w:instrText>
      </w:r>
      <w:r w:rsidR="00605D6F" w:rsidRPr="003847DA">
        <w:rPr>
          <w:bCs/>
        </w:rPr>
        <w:fldChar w:fldCharType="separate"/>
      </w:r>
      <w:r w:rsidR="00605D6F" w:rsidRPr="003847DA">
        <w:rPr>
          <w:bCs/>
          <w:noProof/>
        </w:rPr>
        <w:t>[17]</w:t>
      </w:r>
      <w:r w:rsidR="00605D6F" w:rsidRPr="003847DA">
        <w:rPr>
          <w:bCs/>
        </w:rPr>
        <w:fldChar w:fldCharType="end"/>
      </w:r>
      <w:r w:rsidR="00605D6F" w:rsidRPr="003847DA">
        <w:rPr>
          <w:bCs/>
        </w:rPr>
        <w:t xml:space="preserve"> </w:t>
      </w:r>
      <w:r w:rsidR="00605D6F" w:rsidRPr="003847DA">
        <w:rPr>
          <w:bCs/>
          <w:lang w:val="id-ID"/>
        </w:rPr>
        <w:t>for multiple references. The use of ”Ref</w:t>
      </w:r>
      <w:r w:rsidR="00605D6F" w:rsidRPr="003847DA">
        <w:rPr>
          <w:bCs/>
        </w:rPr>
        <w:t xml:space="preserve"> </w:t>
      </w:r>
      <w:r w:rsidR="00605D6F" w:rsidRPr="003847DA">
        <w:rPr>
          <w:bCs/>
        </w:rPr>
        <w:fldChar w:fldCharType="begin" w:fldLock="1"/>
      </w:r>
      <w:r w:rsidR="00605D6F" w:rsidRPr="003847DA">
        <w:rPr>
          <w:bCs/>
        </w:rPr>
        <w:instrText>ADDIN CSL_CITATION {"citationItems":[{"id":"ITEM-1","itemData":{"DOI":"10.1109/IEMBS.2006.260113","author":[{"dropping-particle":"","family":"Breton","given":"M. D.","non-dropping-particle":"","parse-names":false,"suffix":""},{"dropping-particle":"","family":"Farhy","given":"L. S.","non-dropping-particle":"","parse-names":false,"suffix":""},{"dropping-particle":"","family":"Penberthy","given":"J. K.","non-dropping-particle":"","parse-names":false,"suffix":""},{"dropping-particle":"","family":"Kovatchev","given":"B. P.","non-dropping-particle":"","parse-names":false,"suffix":""}],"container-title":"2006 International Conference of the IEEE Engineering in Medicine and Biology Society","id":"ITEM-1","issued":{"date-parts":[["2006"]]},"page":"315-318","publisher-place":"New York, USA","title":"Bio-Behavioral Control, Glucose Variability, and Hypoglycemia-Associated Autonomic Failure in Type 1 Diabetes (T1DM)","type":"paper-conference"},"uris":["http://www.mendeley.com/documents/?uuid=08269eba-901f-47a6-bc5c-b1bf0857509b"]}],"mendeley":{"formattedCitation":"[18]","plainTextFormattedCitation":"[18]","previouslyFormattedCitation":"[18]"},"properties":{"noteIndex":0},"schema":"https://github.com/citation-style-language/schema/raw/master/csl-citation.json"}</w:instrText>
      </w:r>
      <w:r w:rsidR="00605D6F" w:rsidRPr="003847DA">
        <w:rPr>
          <w:bCs/>
        </w:rPr>
        <w:fldChar w:fldCharType="separate"/>
      </w:r>
      <w:r w:rsidR="00605D6F" w:rsidRPr="003847DA">
        <w:rPr>
          <w:bCs/>
          <w:noProof/>
        </w:rPr>
        <w:t>[18]</w:t>
      </w:r>
      <w:r w:rsidR="00605D6F" w:rsidRPr="003847DA">
        <w:rPr>
          <w:bCs/>
        </w:rPr>
        <w:fldChar w:fldCharType="end"/>
      </w:r>
      <w:r w:rsidR="00605D6F" w:rsidRPr="003847DA">
        <w:rPr>
          <w:bCs/>
          <w:lang w:val="id-ID"/>
        </w:rPr>
        <w:t>...”</w:t>
      </w:r>
      <w:r w:rsidR="00605D6F" w:rsidRPr="003847DA">
        <w:rPr>
          <w:bCs/>
        </w:rPr>
        <w:t xml:space="preserve"> </w:t>
      </w:r>
      <w:r w:rsidR="00605D6F" w:rsidRPr="003847DA">
        <w:rPr>
          <w:bCs/>
          <w:lang w:val="id-ID"/>
        </w:rPr>
        <w:t>should be employed for any reference citation at the beginning of sentence. For any reference with more than</w:t>
      </w:r>
      <w:r w:rsidR="00605D6F" w:rsidRPr="003847DA">
        <w:rPr>
          <w:bCs/>
        </w:rPr>
        <w:t xml:space="preserve"> </w:t>
      </w:r>
      <w:r w:rsidR="00605D6F" w:rsidRPr="003847DA">
        <w:rPr>
          <w:bCs/>
          <w:lang w:val="id-ID"/>
        </w:rPr>
        <w:t xml:space="preserve">3 or more authors, only the first author is to be written followed by </w:t>
      </w:r>
      <w:r w:rsidR="00605D6F" w:rsidRPr="003847DA">
        <w:rPr>
          <w:bCs/>
          <w:i/>
          <w:iCs/>
          <w:lang w:val="id-ID"/>
        </w:rPr>
        <w:t>et al</w:t>
      </w:r>
      <w:r w:rsidR="00605D6F" w:rsidRPr="003847DA">
        <w:rPr>
          <w:bCs/>
        </w:rPr>
        <w:t>.</w:t>
      </w:r>
      <w:r w:rsidR="00605D6F" w:rsidRPr="003847DA">
        <w:rPr>
          <w:bCs/>
          <w:lang w:val="id-ID"/>
        </w:rPr>
        <w:t xml:space="preserve"> (e.g. in</w:t>
      </w:r>
      <w:r w:rsidR="00605D6F" w:rsidRPr="003847DA">
        <w:rPr>
          <w:bCs/>
        </w:rPr>
        <w:t xml:space="preserve"> </w:t>
      </w:r>
      <w:r w:rsidR="00605D6F" w:rsidRPr="003847DA">
        <w:rPr>
          <w:bCs/>
        </w:rPr>
        <w:fldChar w:fldCharType="begin" w:fldLock="1"/>
      </w:r>
      <w:r w:rsidR="00605D6F" w:rsidRPr="003847DA">
        <w:rPr>
          <w:bCs/>
        </w:rPr>
        <w:instrText>ADDIN CSL_CITATION {"citationItems":[{"id":"ITEM-1","itemData":{"DOI":"10.1109/TBME.2019.2905763","author":[{"dropping-particle":"","family":"Rogers","given":"A. J.","non-dropping-particle":"","parse-names":false,"suffix":""},{"dropping-particle":"","family":"Miller","given":"J. M.","non-dropping-particle":"","parse-names":false,"suffix":""},{"dropping-particle":"","family":"Kannappan","given":"R.","non-dropping-particle":"","parse-names":false,"suffix":""},{"dropping-particle":"","family":"Sethu","given":"P.","non-dropping-particle":"","parse-names":false,"suffix":""}],"container-title":"IEEE Transactions on Biomedical Engineering","id":"ITEM-1","issue":"12","issued":{"date-parts":[["2019"]]},"page":"3436-3443","title":"Cardiac Tissue Chips (CTCs) for Modeling Cardiovascular Disease","type":"article-journal","volume":"66"},"uris":["http://www.mendeley.com/documents/?uuid=5e21269a-b7f2-41ad-b869-9cfa0c174051"]}],"mendeley":{"formattedCitation":"[19]","plainTextFormattedCitation":"[19]","previouslyFormattedCitation":"[19]"},"properties":{"noteIndex":0},"schema":"https://github.com/citation-style-language/schema/raw/master/csl-citation.json"}</w:instrText>
      </w:r>
      <w:r w:rsidR="00605D6F" w:rsidRPr="003847DA">
        <w:rPr>
          <w:bCs/>
        </w:rPr>
        <w:fldChar w:fldCharType="separate"/>
      </w:r>
      <w:r w:rsidR="00605D6F" w:rsidRPr="003847DA">
        <w:rPr>
          <w:bCs/>
          <w:noProof/>
        </w:rPr>
        <w:t>[19]</w:t>
      </w:r>
      <w:r w:rsidR="00605D6F" w:rsidRPr="003847DA">
        <w:rPr>
          <w:bCs/>
        </w:rPr>
        <w:fldChar w:fldCharType="end"/>
      </w:r>
      <w:r w:rsidR="00605D6F" w:rsidRPr="003847DA">
        <w:rPr>
          <w:bCs/>
          <w:lang w:val="id-ID"/>
        </w:rPr>
        <w:t>). Examples of reference</w:t>
      </w:r>
      <w:r w:rsidR="00605D6F" w:rsidRPr="003847DA">
        <w:rPr>
          <w:bCs/>
        </w:rPr>
        <w:t xml:space="preserve"> </w:t>
      </w:r>
      <w:r w:rsidR="00605D6F" w:rsidRPr="003847DA">
        <w:rPr>
          <w:bCs/>
          <w:lang w:val="id-ID"/>
        </w:rPr>
        <w:t>items of different categories shown in the References section. Each item in the references section should be</w:t>
      </w:r>
      <w:r w:rsidR="00605D6F" w:rsidRPr="003847DA">
        <w:rPr>
          <w:bCs/>
        </w:rPr>
        <w:t xml:space="preserve"> </w:t>
      </w:r>
      <w:r w:rsidR="00605D6F" w:rsidRPr="003847DA">
        <w:rPr>
          <w:bCs/>
          <w:lang w:val="id-ID"/>
        </w:rPr>
        <w:t xml:space="preserve">typed using </w:t>
      </w:r>
      <w:r w:rsidR="008A0709">
        <w:rPr>
          <w:bCs/>
        </w:rPr>
        <w:t>8</w:t>
      </w:r>
      <w:r w:rsidR="00605D6F" w:rsidRPr="003847DA">
        <w:rPr>
          <w:bCs/>
        </w:rPr>
        <w:t xml:space="preserve"> </w:t>
      </w:r>
      <w:r w:rsidR="00605D6F" w:rsidRPr="003847DA">
        <w:rPr>
          <w:bCs/>
          <w:lang w:val="id-ID"/>
        </w:rPr>
        <w:t>pt font size</w:t>
      </w:r>
      <w:r w:rsidR="00605D6F" w:rsidRPr="003847DA">
        <w:rPr>
          <w:bCs/>
        </w:rPr>
        <w:t xml:space="preserve"> </w:t>
      </w:r>
      <w:r w:rsidR="00605D6F" w:rsidRPr="003847DA">
        <w:rPr>
          <w:bCs/>
        </w:rPr>
        <w:fldChar w:fldCharType="begin" w:fldLock="1"/>
      </w:r>
      <w:r w:rsidR="00605D6F" w:rsidRPr="003847DA">
        <w:rPr>
          <w:bCs/>
        </w:rPr>
        <w:instrText>ADDIN CSL_CITATION {"citationItems":[{"id":"ITEM-1","itemData":{"DOI":"10.1109/ICORAS.2016.7872619","author":[{"dropping-particle":"","family":"Yahya","given":"M. F.","non-dropping-particle":"","parse-names":false,"suffix":""},{"dropping-particle":"","family":"Supriyanto","given":"E.","non-dropping-particle":"","parse-names":false,"suffix":""}],"container-title":"2016 International Conference on Robotics, Automation and Sciences (ICORAS)","id":"ITEM-1","issued":{"date-parts":[["2016"]]},"page":"1-4","publisher-place":"Melaka, Malaysia","title":"Physiological modeling of sound effect on neuro-cardiovascular system","type":"paper-conference"},"uris":["http://www.mendeley.com/documents/?uuid=9515bdd2-d5b0-47b4-9838-70961826d6d7"]},{"id":"ITEM-2","itemData":{"DOI":"10.1016/S0195-668X(03)00114-3","author":[{"dropping-particle":"","family":"Conroy","given":"R. M.","non-dropping-particle":"","parse-names":false,"suffix":""},{"dropping-particle":"","family":"Pyorala","given":"K.","non-dropping-particle":"","parse-names":false,"suffix":""},{"dropping-particle":"","family":"Fitzgerald","given":"A. P.","non-dropping-particle":"","parse-names":false,"suffix":""}],"container-title":"European Heart Journal","id":"ITEM-2","issued":{"date-parts":[["2003"]]},"page":"987-1003","title":"Estimation Of Ten-Year Risk Cardiovascular Disease In Europe: The SCORE Project","type":"article-journal","volume":"24"},"uris":["http://www.mendeley.com/documents/?uuid=786ae7d9-d958-4a6d-8020-0e6bb182b1c6"]},{"id":"ITEM-3","itemData":{"author":[{"dropping-particle":"","family":"Pagliaro","given":"Pasquale","non-dropping-particle":"","parse-names":false,"suffix":""},{"dropping-particle":"","family":"Penna","given":"Claudia","non-dropping-particle":"","parse-names":false,"suffix":""},{"dropping-particle":"","family":"Rastaldo","given":"Raffaella","non-dropping-particle":"","parse-names":false,"suffix":""}],"container-title":"Basic Cardiovascular Physiology: From Molecules to Translational Medical Science","id":"ITEM-3","issued":{"date-parts":[["2020"]]},"page":"1-24","publisher":"River Publishers","title":"Basic Cardiovascular Physiology: From Molecules to Translational Medical Science","type":"chapter"},"uris":["http://www.mendeley.com/documents/?uuid=8f7c68f3-87bf-4df4-b09b-d0b7971784fd"]},{"id":"ITEM-4","itemData":{"DOI":"10.1093/eurheartj/ehr068","author":[{"dropping-particle":"","family":"Corti","given":"R.","non-dropping-particle":"","parse-names":false,"suffix":""},{"dropping-particle":"","family":"Fuster","given":"V.","non-dropping-particle":"","parse-names":false,"suffix":""}],"container-title":"European Heart Journal","id":"ITEM-4","issue":"14","issued":{"date-parts":[["2011"]]},"page":"1709-1719","title":"Imaging of atherosclerosis: Magnetic resonance imaging","type":"article-journal","volume":"32"},"uris":["http://www.mendeley.com/documents/?uuid=1ee39310-b9d4-4fd0-8c7e-a6c77fdd0017"]},{"id":"ITEM-5","itemData":{"DOI":"10.1007/s10554-007-9281-1","author":[{"dropping-particle":"","family":"Achenbach","given":"S.","non-dropping-particle":"","parse-names":false,"suffix":""}],"container-title":"The International Journal of Cardiovascular Imaging","id":"ITEM-5","issue":"3","issued":{"date-parts":[["2008"]]},"page":"311-312","title":"Can CT detect the vulnerable coronary plaque?","type":"article-journal","volume":"24"},"uris":["http://www.mendeley.com/documents/?uuid=7803184c-7bf3-4849-a48d-72ad1f3b083d"]},{"id":"ITEM-6","itemData":{"DOI":"10.1109/ICICI-BME.2015.7401302","author":[{"dropping-particle":"","family":"Supriyanto","given":"E.","non-dropping-particle":"","parse-names":false,"suffix":""}],"container-title":"2015 4th International Conference on Instrumentation, Communications, Information Technology, and Biomedical Engineering (ICICI-BME)","id":"ITEM-6","issued":{"date-parts":[["2015"]]},"publisher-place":"Bandung, Indonesia","title":"The future of cardiovascular imaging","type":"paper-conference"},"uris":["http://www.mendeley.com/documents/?uuid=a62c7a2d-29df-496e-aa46-06606a050b1b"]}],"mendeley":{"formattedCitation":"[20]–[25]","plainTextFormattedCitation":"[20]–[25]","previouslyFormattedCitation":"[20]–[25]"},"properties":{"noteIndex":0},"schema":"https://github.com/citation-style-language/schema/raw/master/csl-citation.json"}</w:instrText>
      </w:r>
      <w:r w:rsidR="00605D6F" w:rsidRPr="003847DA">
        <w:rPr>
          <w:bCs/>
        </w:rPr>
        <w:fldChar w:fldCharType="separate"/>
      </w:r>
      <w:r w:rsidR="00605D6F" w:rsidRPr="003847DA">
        <w:rPr>
          <w:bCs/>
          <w:noProof/>
        </w:rPr>
        <w:t>[20]–[25]</w:t>
      </w:r>
      <w:r w:rsidR="00605D6F" w:rsidRPr="003847DA">
        <w:rPr>
          <w:bCs/>
        </w:rPr>
        <w:fldChar w:fldCharType="end"/>
      </w:r>
      <w:r w:rsidR="00605D6F" w:rsidRPr="003847DA">
        <w:rPr>
          <w:bCs/>
          <w:lang w:val="id-ID"/>
        </w:rPr>
        <w:t>.</w:t>
      </w:r>
    </w:p>
    <w:p w14:paraId="740F6FB0" w14:textId="018F8937" w:rsidR="00E619D6" w:rsidRPr="003847DA" w:rsidRDefault="00E619D6" w:rsidP="00605D6F">
      <w:pPr>
        <w:ind w:firstLine="709"/>
        <w:jc w:val="both"/>
        <w:rPr>
          <w:bCs/>
          <w:lang w:val="id-ID"/>
        </w:rPr>
      </w:pPr>
    </w:p>
    <w:p w14:paraId="0F3CA98D" w14:textId="77777777" w:rsidR="00E619D6" w:rsidRPr="003847DA" w:rsidRDefault="00E619D6" w:rsidP="00E619D6">
      <w:pPr>
        <w:rPr>
          <w:rStyle w:val="fontstyle21"/>
          <w:rFonts w:ascii="Times New Roman" w:hAnsi="Times New Roman"/>
          <w:color w:val="auto"/>
        </w:rPr>
      </w:pPr>
      <w:r w:rsidRPr="003847DA">
        <w:rPr>
          <w:rStyle w:val="fontstyle01"/>
          <w:rFonts w:ascii="Times New Roman" w:hAnsi="Times New Roman"/>
          <w:color w:val="auto"/>
        </w:rPr>
        <w:t xml:space="preserve">3.2.1. </w:t>
      </w:r>
      <w:proofErr w:type="spellStart"/>
      <w:r w:rsidRPr="003847DA">
        <w:rPr>
          <w:rStyle w:val="fontstyle01"/>
          <w:rFonts w:ascii="Times New Roman" w:hAnsi="Times New Roman"/>
          <w:color w:val="auto"/>
        </w:rPr>
        <w:t>Subsub</w:t>
      </w:r>
      <w:proofErr w:type="spellEnd"/>
      <w:r w:rsidRPr="003847DA">
        <w:rPr>
          <w:rStyle w:val="fontstyle01"/>
          <w:rFonts w:ascii="Times New Roman" w:hAnsi="Times New Roman"/>
          <w:color w:val="auto"/>
        </w:rPr>
        <w:t xml:space="preserve"> section 1</w:t>
      </w:r>
    </w:p>
    <w:p w14:paraId="25414E61" w14:textId="77777777" w:rsidR="00E619D6" w:rsidRPr="003847DA" w:rsidRDefault="00E619D6" w:rsidP="00E619D6">
      <w:pPr>
        <w:ind w:firstLine="720"/>
        <w:jc w:val="both"/>
        <w:rPr>
          <w:rStyle w:val="fontstyle01"/>
          <w:rFonts w:ascii="Times New Roman" w:hAnsi="Times New Roman"/>
          <w:color w:val="auto"/>
        </w:rPr>
      </w:pPr>
      <w:r w:rsidRPr="003847DA">
        <w:rPr>
          <w:lang w:val="id-ID"/>
        </w:rPr>
        <w:t>yy</w:t>
      </w:r>
      <w:r w:rsidRPr="003847DA">
        <w:br/>
      </w:r>
    </w:p>
    <w:p w14:paraId="5568B601" w14:textId="77777777" w:rsidR="00E619D6" w:rsidRPr="003847DA" w:rsidRDefault="00E619D6" w:rsidP="00E619D6">
      <w:pPr>
        <w:rPr>
          <w:rStyle w:val="fontstyle21"/>
          <w:rFonts w:ascii="Times New Roman" w:hAnsi="Times New Roman"/>
          <w:color w:val="auto"/>
        </w:rPr>
      </w:pPr>
      <w:r w:rsidRPr="003847DA">
        <w:rPr>
          <w:rStyle w:val="fontstyle01"/>
          <w:rFonts w:ascii="Times New Roman" w:hAnsi="Times New Roman"/>
          <w:color w:val="auto"/>
        </w:rPr>
        <w:t xml:space="preserve">3.2.2. </w:t>
      </w:r>
      <w:proofErr w:type="spellStart"/>
      <w:r w:rsidRPr="003847DA">
        <w:rPr>
          <w:rStyle w:val="fontstyle01"/>
          <w:rFonts w:ascii="Times New Roman" w:hAnsi="Times New Roman"/>
          <w:color w:val="auto"/>
        </w:rPr>
        <w:t>Subsub</w:t>
      </w:r>
      <w:proofErr w:type="spellEnd"/>
      <w:r w:rsidRPr="003847DA">
        <w:rPr>
          <w:rStyle w:val="fontstyle01"/>
          <w:rFonts w:ascii="Times New Roman" w:hAnsi="Times New Roman"/>
          <w:color w:val="auto"/>
        </w:rPr>
        <w:t xml:space="preserve"> section 2</w:t>
      </w:r>
    </w:p>
    <w:p w14:paraId="2D1B2B3E" w14:textId="77777777" w:rsidR="00E619D6" w:rsidRPr="003847DA" w:rsidRDefault="00E619D6" w:rsidP="00E619D6">
      <w:pPr>
        <w:ind w:firstLine="720"/>
        <w:jc w:val="both"/>
        <w:rPr>
          <w:b/>
          <w:bCs/>
        </w:rPr>
      </w:pPr>
      <w:proofErr w:type="spellStart"/>
      <w:r w:rsidRPr="003847DA">
        <w:t>zz</w:t>
      </w:r>
      <w:proofErr w:type="spellEnd"/>
    </w:p>
    <w:p w14:paraId="0656AC10" w14:textId="77777777" w:rsidR="00E619D6" w:rsidRPr="003847DA" w:rsidRDefault="00E619D6" w:rsidP="00E619D6">
      <w:pPr>
        <w:rPr>
          <w:lang w:val="id-ID"/>
        </w:rPr>
      </w:pPr>
    </w:p>
    <w:p w14:paraId="4613A0AD" w14:textId="77777777" w:rsidR="00E619D6" w:rsidRPr="003847DA" w:rsidRDefault="00E619D6" w:rsidP="00E619D6">
      <w:pPr>
        <w:rPr>
          <w:lang w:val="id-ID"/>
        </w:rPr>
      </w:pPr>
    </w:p>
    <w:p w14:paraId="7A07F5E5" w14:textId="77777777" w:rsidR="00E619D6" w:rsidRPr="003847DA" w:rsidRDefault="00E619D6" w:rsidP="00E619D6">
      <w:pPr>
        <w:numPr>
          <w:ilvl w:val="0"/>
          <w:numId w:val="15"/>
        </w:numPr>
        <w:tabs>
          <w:tab w:val="left" w:pos="426"/>
        </w:tabs>
        <w:ind w:left="426" w:hanging="426"/>
        <w:rPr>
          <w:b/>
          <w:bCs/>
          <w:lang w:val="id-ID"/>
        </w:rPr>
      </w:pPr>
      <w:r w:rsidRPr="003847DA">
        <w:rPr>
          <w:b/>
          <w:bCs/>
          <w:lang w:val="id-ID"/>
        </w:rPr>
        <w:t>CONCLUSION</w:t>
      </w:r>
      <w:r w:rsidRPr="003847DA">
        <w:rPr>
          <w:b/>
          <w:bCs/>
        </w:rPr>
        <w:t xml:space="preserve"> (10 PT)</w:t>
      </w:r>
    </w:p>
    <w:p w14:paraId="7A7E94F0" w14:textId="721498D8" w:rsidR="00E619D6" w:rsidRPr="003847DA" w:rsidRDefault="00E619D6" w:rsidP="00354A58">
      <w:pPr>
        <w:ind w:firstLine="709"/>
        <w:jc w:val="both"/>
        <w:rPr>
          <w:lang w:val="id-ID"/>
        </w:rPr>
      </w:pPr>
      <w:r w:rsidRPr="003847DA">
        <w:rPr>
          <w:lang w:val="id-ID"/>
        </w:rPr>
        <w:t xml:space="preserve">Provide </w:t>
      </w:r>
      <w:r w:rsidR="00354A58" w:rsidRPr="003847DA">
        <w:rPr>
          <w:lang w:val="id-ID"/>
        </w:rPr>
        <w:t xml:space="preserve">a statement that what is expected, as stated in the "INTRODUCTION" </w:t>
      </w:r>
      <w:r w:rsidR="00354A58" w:rsidRPr="003847DA">
        <w:t>section</w:t>
      </w:r>
      <w:r w:rsidR="00354A58" w:rsidRPr="003847DA">
        <w:rPr>
          <w:lang w:val="id-ID"/>
        </w:rPr>
        <w:t xml:space="preserve"> can ultimately result in "RESULTS AND DISCUSSION" </w:t>
      </w:r>
      <w:r w:rsidR="00354A58" w:rsidRPr="003847DA">
        <w:t>section</w:t>
      </w:r>
      <w:r w:rsidR="00354A58" w:rsidRPr="003847DA">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847DA" w:rsidRDefault="00354A58" w:rsidP="00354A58">
      <w:pPr>
        <w:ind w:firstLine="709"/>
        <w:jc w:val="both"/>
        <w:rPr>
          <w:b/>
          <w:bCs/>
        </w:rPr>
      </w:pPr>
    </w:p>
    <w:p w14:paraId="6524B611" w14:textId="77777777" w:rsidR="00E619D6" w:rsidRPr="003847DA" w:rsidRDefault="00E619D6" w:rsidP="00E619D6">
      <w:pPr>
        <w:rPr>
          <w:b/>
          <w:bCs/>
        </w:rPr>
      </w:pPr>
    </w:p>
    <w:p w14:paraId="4C69A62F" w14:textId="77777777" w:rsidR="00E619D6" w:rsidRPr="003847DA" w:rsidRDefault="00E619D6" w:rsidP="00E619D6">
      <w:pPr>
        <w:rPr>
          <w:rStyle w:val="apple-style-span"/>
          <w:b/>
          <w:lang w:val="pt-BR"/>
        </w:rPr>
      </w:pPr>
      <w:r w:rsidRPr="003847DA">
        <w:rPr>
          <w:rStyle w:val="apple-style-span"/>
          <w:b/>
          <w:lang w:val="pt-BR"/>
        </w:rPr>
        <w:lastRenderedPageBreak/>
        <w:t xml:space="preserve">ACKNOWLEDGEMENTS </w:t>
      </w:r>
      <w:r w:rsidRPr="003847DA">
        <w:rPr>
          <w:b/>
          <w:bCs/>
        </w:rPr>
        <w:t>(10 PT)</w:t>
      </w:r>
    </w:p>
    <w:p w14:paraId="54AE7F84" w14:textId="331FB080" w:rsidR="00354A58" w:rsidRPr="003847DA" w:rsidRDefault="00E94443" w:rsidP="00354A58">
      <w:pPr>
        <w:ind w:firstLine="720"/>
        <w:jc w:val="both"/>
        <w:rPr>
          <w:rStyle w:val="apple-style-span"/>
          <w:bCs/>
          <w:lang w:val="pt-BR"/>
        </w:rPr>
      </w:pPr>
      <w:bookmarkStart w:id="10" w:name="_Hlk78354940"/>
      <w:r w:rsidRPr="003847DA">
        <w:t xml:space="preserve">Author thanks </w:t>
      </w:r>
      <w:proofErr w:type="gramStart"/>
      <w:r w:rsidRPr="003847DA">
        <w:t>... .</w:t>
      </w:r>
      <w:proofErr w:type="gramEnd"/>
      <w:r w:rsidRPr="003847DA">
        <w:t xml:space="preserve"> In most cases, sponsor and financial support acknowledgments.</w:t>
      </w:r>
    </w:p>
    <w:bookmarkEnd w:id="10"/>
    <w:p w14:paraId="3B8CC628" w14:textId="455ED99F" w:rsidR="00E619D6" w:rsidRPr="003847DA" w:rsidRDefault="00E619D6" w:rsidP="00354A58">
      <w:pPr>
        <w:ind w:firstLine="720"/>
        <w:jc w:val="both"/>
        <w:rPr>
          <w:rStyle w:val="apple-style-span"/>
          <w:bCs/>
          <w:lang w:val="pt-BR"/>
        </w:rPr>
      </w:pPr>
    </w:p>
    <w:p w14:paraId="229ACC24" w14:textId="77777777" w:rsidR="00E619D6" w:rsidRPr="003847DA" w:rsidRDefault="00E619D6" w:rsidP="00E619D6">
      <w:pPr>
        <w:rPr>
          <w:rStyle w:val="apple-style-span"/>
          <w:bCs/>
          <w:lang w:val="pt-BR"/>
        </w:rPr>
      </w:pPr>
    </w:p>
    <w:p w14:paraId="2796523A" w14:textId="77777777" w:rsidR="00E619D6" w:rsidRPr="003847DA" w:rsidRDefault="00E619D6" w:rsidP="00E619D6">
      <w:pPr>
        <w:rPr>
          <w:lang w:val="pt-BR"/>
        </w:rPr>
      </w:pPr>
      <w:r w:rsidRPr="003847DA">
        <w:rPr>
          <w:rStyle w:val="apple-style-span"/>
          <w:b/>
          <w:lang w:val="pt-BR"/>
        </w:rPr>
        <w:t xml:space="preserve">REFERENCES </w:t>
      </w:r>
      <w:r w:rsidRPr="003847DA">
        <w:rPr>
          <w:b/>
          <w:bCs/>
        </w:rPr>
        <w:t>(10 PT)</w:t>
      </w:r>
    </w:p>
    <w:p w14:paraId="767F7CDD" w14:textId="77777777" w:rsidR="002C4131" w:rsidRPr="00ED3490" w:rsidRDefault="002C4131" w:rsidP="002C4131">
      <w:pPr>
        <w:ind w:firstLine="720"/>
        <w:jc w:val="both"/>
        <w:rPr>
          <w:sz w:val="16"/>
          <w:szCs w:val="16"/>
        </w:rPr>
      </w:pPr>
      <w:bookmarkStart w:id="11" w:name="_Hlk78354957"/>
      <w:bookmarkStart w:id="12" w:name="_Hlk80021798"/>
      <w:r w:rsidRPr="00ED3490">
        <w:rPr>
          <w:sz w:val="16"/>
          <w:szCs w:val="16"/>
        </w:rPr>
        <w:t xml:space="preserve">The main references are international journals and proceedings. All references should be to the most pertinent, up-to-date sources </w:t>
      </w:r>
      <w:r w:rsidRPr="00ED3490">
        <w:rPr>
          <w:b/>
          <w:bCs/>
          <w:sz w:val="16"/>
          <w:szCs w:val="16"/>
        </w:rPr>
        <w:t xml:space="preserve">and the minimum of references </w:t>
      </w:r>
      <w:r w:rsidRPr="00ED3490">
        <w:rPr>
          <w:sz w:val="16"/>
          <w:szCs w:val="16"/>
        </w:rPr>
        <w:t xml:space="preserve">are </w:t>
      </w:r>
      <w:r w:rsidRPr="00ED3490">
        <w:rPr>
          <w:b/>
          <w:bCs/>
          <w:sz w:val="16"/>
          <w:szCs w:val="16"/>
        </w:rPr>
        <w:t xml:space="preserve">25 entries </w:t>
      </w:r>
      <w:r w:rsidRPr="00ED3490">
        <w:rPr>
          <w:sz w:val="16"/>
          <w:szCs w:val="16"/>
        </w:rPr>
        <w:t>(for original research paper)</w:t>
      </w:r>
      <w:r w:rsidRPr="00ED3490">
        <w:rPr>
          <w:b/>
          <w:bCs/>
          <w:sz w:val="16"/>
          <w:szCs w:val="16"/>
        </w:rPr>
        <w:t xml:space="preserve"> </w:t>
      </w:r>
      <w:r w:rsidRPr="00ED3490">
        <w:rPr>
          <w:sz w:val="16"/>
          <w:szCs w:val="16"/>
        </w:rPr>
        <w:t xml:space="preserve">and </w:t>
      </w:r>
      <w:r w:rsidRPr="00ED3490">
        <w:rPr>
          <w:b/>
          <w:bCs/>
          <w:sz w:val="16"/>
          <w:szCs w:val="16"/>
        </w:rPr>
        <w:t xml:space="preserve">50 entries </w:t>
      </w:r>
      <w:r w:rsidRPr="00ED3490">
        <w:rPr>
          <w:sz w:val="16"/>
          <w:szCs w:val="16"/>
        </w:rPr>
        <w:t xml:space="preserve">(for review/survey paper). References are written in </w:t>
      </w:r>
      <w:r w:rsidRPr="00ED3490">
        <w:rPr>
          <w:b/>
          <w:bCs/>
          <w:sz w:val="16"/>
          <w:szCs w:val="16"/>
        </w:rPr>
        <w:t>IEEE style</w:t>
      </w:r>
      <w:r w:rsidRPr="00ED3490">
        <w:rPr>
          <w:sz w:val="16"/>
          <w:szCs w:val="16"/>
        </w:rPr>
        <w:t xml:space="preserve">. For more complete guide can be accessed at (http://ipmuonline.com/guide/refstyle.pdf). Use of a tool such as </w:t>
      </w:r>
      <w:r w:rsidRPr="00ED3490">
        <w:rPr>
          <w:b/>
          <w:bCs/>
          <w:sz w:val="16"/>
          <w:szCs w:val="16"/>
        </w:rPr>
        <w:t>EndNote</w:t>
      </w:r>
      <w:r w:rsidRPr="00ED3490">
        <w:rPr>
          <w:sz w:val="16"/>
          <w:szCs w:val="16"/>
        </w:rPr>
        <w:t xml:space="preserve">, </w:t>
      </w:r>
      <w:r w:rsidRPr="00ED3490">
        <w:rPr>
          <w:b/>
          <w:bCs/>
          <w:sz w:val="16"/>
          <w:szCs w:val="16"/>
        </w:rPr>
        <w:t>Mendeley</w:t>
      </w:r>
      <w:r w:rsidRPr="00ED3490">
        <w:rPr>
          <w:sz w:val="16"/>
          <w:szCs w:val="16"/>
        </w:rPr>
        <w:t xml:space="preserve">, or </w:t>
      </w:r>
      <w:r w:rsidRPr="00ED3490">
        <w:rPr>
          <w:b/>
          <w:bCs/>
          <w:sz w:val="16"/>
          <w:szCs w:val="16"/>
        </w:rPr>
        <w:t>Zotero</w:t>
      </w:r>
      <w:r w:rsidRPr="00ED3490">
        <w:rPr>
          <w:sz w:val="16"/>
          <w:szCs w:val="16"/>
        </w:rPr>
        <w:t xml:space="preserve"> for reference management and formatting, and choose </w:t>
      </w:r>
      <w:r w:rsidRPr="00ED3490">
        <w:rPr>
          <w:b/>
          <w:bCs/>
          <w:sz w:val="16"/>
          <w:szCs w:val="16"/>
        </w:rPr>
        <w:t>IEEE style</w:t>
      </w:r>
      <w:r w:rsidRPr="00ED3490">
        <w:rPr>
          <w:sz w:val="16"/>
          <w:szCs w:val="16"/>
        </w:rPr>
        <w:t xml:space="preserve">. </w:t>
      </w:r>
      <w:r w:rsidRPr="00ED3490">
        <w:rPr>
          <w:iCs/>
          <w:sz w:val="16"/>
          <w:szCs w:val="16"/>
        </w:rPr>
        <w:t>Please use</w:t>
      </w:r>
      <w:r w:rsidRPr="00ED3490">
        <w:rPr>
          <w:sz w:val="16"/>
          <w:szCs w:val="16"/>
        </w:rPr>
        <w:t xml:space="preserve"> a consistent format for </w:t>
      </w:r>
      <w:r w:rsidRPr="00ED3490">
        <w:rPr>
          <w:iCs/>
          <w:sz w:val="16"/>
          <w:szCs w:val="16"/>
        </w:rPr>
        <w:t>references-</w:t>
      </w:r>
      <w:r w:rsidRPr="00ED3490">
        <w:rPr>
          <w:sz w:val="16"/>
          <w:szCs w:val="16"/>
        </w:rPr>
        <w:t xml:space="preserve">see examples (8 </w:t>
      </w:r>
      <w:proofErr w:type="spellStart"/>
      <w:r w:rsidRPr="00ED3490">
        <w:rPr>
          <w:sz w:val="16"/>
          <w:szCs w:val="16"/>
        </w:rPr>
        <w:t>pt</w:t>
      </w:r>
      <w:proofErr w:type="spellEnd"/>
      <w:r w:rsidRPr="00ED3490">
        <w:rPr>
          <w:sz w:val="16"/>
          <w:szCs w:val="16"/>
        </w:rPr>
        <w:t>):</w:t>
      </w:r>
    </w:p>
    <w:p w14:paraId="13E62240" w14:textId="77777777" w:rsidR="002C4131" w:rsidRPr="003847DA" w:rsidRDefault="002C4131" w:rsidP="002C4131">
      <w:pPr>
        <w:jc w:val="both"/>
      </w:pPr>
      <w:bookmarkStart w:id="13" w:name="_Hlk80002086"/>
      <w:bookmarkEnd w:id="11"/>
    </w:p>
    <w:p w14:paraId="7EBC9D61" w14:textId="77777777" w:rsidR="002C4131" w:rsidRPr="003847DA" w:rsidRDefault="002C4131" w:rsidP="002C4131">
      <w:pPr>
        <w:pStyle w:val="ListParagraph"/>
        <w:numPr>
          <w:ilvl w:val="0"/>
          <w:numId w:val="20"/>
        </w:numPr>
        <w:spacing w:after="0" w:line="240" w:lineRule="auto"/>
        <w:ind w:left="426" w:hanging="426"/>
        <w:jc w:val="both"/>
        <w:rPr>
          <w:rFonts w:ascii="Times New Roman" w:hAnsi="Times New Roman"/>
          <w:b/>
          <w:bCs/>
          <w:sz w:val="18"/>
          <w:szCs w:val="18"/>
        </w:rPr>
      </w:pPr>
      <w:bookmarkStart w:id="14" w:name="_Hlk65223902"/>
      <w:bookmarkStart w:id="15" w:name="_Hlk80001145"/>
      <w:r w:rsidRPr="003847DA">
        <w:rPr>
          <w:rFonts w:ascii="Times New Roman" w:hAnsi="Times New Roman"/>
          <w:b/>
          <w:bCs/>
          <w:sz w:val="18"/>
          <w:szCs w:val="18"/>
        </w:rPr>
        <w:t>Journal/Periodicals</w:t>
      </w:r>
    </w:p>
    <w:p w14:paraId="24EE91EB" w14:textId="77777777" w:rsidR="002C4131" w:rsidRPr="003847DA" w:rsidRDefault="002C4131" w:rsidP="002C4131">
      <w:pPr>
        <w:pStyle w:val="Default"/>
        <w:jc w:val="both"/>
        <w:rPr>
          <w:rFonts w:cs="Times New Roman"/>
          <w:color w:val="auto"/>
          <w:sz w:val="16"/>
          <w:szCs w:val="16"/>
        </w:rPr>
      </w:pPr>
      <w:r w:rsidRPr="003847DA">
        <w:rPr>
          <w:rFonts w:cs="Times New Roman"/>
          <w:i/>
          <w:iCs/>
          <w:color w:val="auto"/>
          <w:sz w:val="16"/>
          <w:szCs w:val="16"/>
        </w:rPr>
        <w:t xml:space="preserve">Basic Format: </w:t>
      </w:r>
    </w:p>
    <w:p w14:paraId="6F60ABA0" w14:textId="77777777" w:rsidR="002C4131" w:rsidRPr="003847DA" w:rsidRDefault="002C4131" w:rsidP="002C4131">
      <w:pPr>
        <w:autoSpaceDE w:val="0"/>
        <w:autoSpaceDN w:val="0"/>
        <w:adjustRightInd w:val="0"/>
        <w:jc w:val="both"/>
        <w:rPr>
          <w:sz w:val="16"/>
          <w:szCs w:val="16"/>
        </w:rPr>
      </w:pPr>
      <w:r w:rsidRPr="003847DA">
        <w:rPr>
          <w:sz w:val="16"/>
          <w:szCs w:val="16"/>
        </w:rPr>
        <w:t xml:space="preserve">J. K. Author, “Title of paper,” </w:t>
      </w:r>
      <w:r w:rsidRPr="003847DA">
        <w:rPr>
          <w:i/>
          <w:iCs/>
          <w:sz w:val="16"/>
          <w:szCs w:val="16"/>
        </w:rPr>
        <w:t>Abbrev. Title of Journal/Periodical</w:t>
      </w:r>
      <w:r w:rsidRPr="003847DA">
        <w:rPr>
          <w:sz w:val="16"/>
          <w:szCs w:val="16"/>
        </w:rPr>
        <w:t xml:space="preserve">, vol. </w:t>
      </w:r>
      <w:r w:rsidRPr="003847DA">
        <w:rPr>
          <w:i/>
          <w:iCs/>
          <w:sz w:val="16"/>
          <w:szCs w:val="16"/>
        </w:rPr>
        <w:t xml:space="preserve">x, </w:t>
      </w:r>
      <w:r w:rsidRPr="003847DA">
        <w:rPr>
          <w:sz w:val="16"/>
          <w:szCs w:val="16"/>
        </w:rPr>
        <w:t xml:space="preserve">no. </w:t>
      </w:r>
      <w:r w:rsidRPr="003847DA">
        <w:rPr>
          <w:i/>
          <w:iCs/>
          <w:sz w:val="16"/>
          <w:szCs w:val="16"/>
        </w:rPr>
        <w:t xml:space="preserve">x, </w:t>
      </w:r>
      <w:r w:rsidRPr="003847DA">
        <w:rPr>
          <w:sz w:val="16"/>
          <w:szCs w:val="16"/>
        </w:rPr>
        <w:t>pp</w:t>
      </w:r>
      <w:r w:rsidRPr="003847DA">
        <w:rPr>
          <w:i/>
          <w:iCs/>
          <w:sz w:val="16"/>
          <w:szCs w:val="16"/>
        </w:rPr>
        <w:t xml:space="preserve">. xxx-xxx, </w:t>
      </w:r>
      <w:r w:rsidRPr="003847DA">
        <w:rPr>
          <w:sz w:val="16"/>
          <w:szCs w:val="16"/>
        </w:rPr>
        <w:t xml:space="preserve">Abbrev. Month, year, </w:t>
      </w:r>
      <w:proofErr w:type="spellStart"/>
      <w:r w:rsidRPr="003847DA">
        <w:rPr>
          <w:sz w:val="16"/>
          <w:szCs w:val="16"/>
        </w:rPr>
        <w:t>doi</w:t>
      </w:r>
      <w:proofErr w:type="spellEnd"/>
      <w:r w:rsidRPr="003847DA">
        <w:rPr>
          <w:sz w:val="16"/>
          <w:szCs w:val="16"/>
        </w:rPr>
        <w:t xml:space="preserve">: </w:t>
      </w:r>
      <w:r w:rsidRPr="003847DA">
        <w:rPr>
          <w:i/>
          <w:iCs/>
          <w:sz w:val="16"/>
          <w:szCs w:val="16"/>
        </w:rPr>
        <w:t>xxx</w:t>
      </w:r>
      <w:r w:rsidRPr="003847DA">
        <w:rPr>
          <w:sz w:val="16"/>
          <w:szCs w:val="16"/>
        </w:rPr>
        <w:t xml:space="preserve">. </w:t>
      </w:r>
    </w:p>
    <w:p w14:paraId="6AA50F5C" w14:textId="77777777" w:rsidR="002C4131" w:rsidRPr="003847DA" w:rsidRDefault="002C4131" w:rsidP="002C4131">
      <w:pPr>
        <w:pStyle w:val="Default"/>
        <w:jc w:val="both"/>
        <w:rPr>
          <w:rFonts w:cs="Times New Roman"/>
          <w:color w:val="auto"/>
          <w:sz w:val="16"/>
          <w:szCs w:val="16"/>
        </w:rPr>
      </w:pPr>
      <w:r w:rsidRPr="003847DA">
        <w:rPr>
          <w:rFonts w:cs="Times New Roman"/>
          <w:i/>
          <w:iCs/>
          <w:color w:val="auto"/>
          <w:sz w:val="16"/>
          <w:szCs w:val="16"/>
        </w:rPr>
        <w:t xml:space="preserve">Examples: </w:t>
      </w:r>
    </w:p>
    <w:bookmarkEnd w:id="14"/>
    <w:p w14:paraId="594B2E89"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M. M. </w:t>
      </w:r>
      <w:proofErr w:type="spellStart"/>
      <w:r w:rsidRPr="003847DA">
        <w:rPr>
          <w:rFonts w:cs="Times New Roman"/>
          <w:color w:val="auto"/>
          <w:sz w:val="16"/>
          <w:szCs w:val="16"/>
        </w:rPr>
        <w:t>Chiampi</w:t>
      </w:r>
      <w:proofErr w:type="spellEnd"/>
      <w:r w:rsidRPr="003847DA">
        <w:rPr>
          <w:rFonts w:cs="Times New Roman"/>
          <w:color w:val="auto"/>
          <w:sz w:val="16"/>
          <w:szCs w:val="16"/>
        </w:rPr>
        <w:t xml:space="preserve"> and L. L. </w:t>
      </w:r>
      <w:proofErr w:type="spellStart"/>
      <w:r w:rsidRPr="003847DA">
        <w:rPr>
          <w:rFonts w:cs="Times New Roman"/>
          <w:color w:val="auto"/>
          <w:sz w:val="16"/>
          <w:szCs w:val="16"/>
        </w:rPr>
        <w:t>Zilberti</w:t>
      </w:r>
      <w:proofErr w:type="spellEnd"/>
      <w:r w:rsidRPr="003847DA">
        <w:rPr>
          <w:rFonts w:cs="Times New Roman"/>
          <w:color w:val="auto"/>
          <w:sz w:val="16"/>
          <w:szCs w:val="16"/>
        </w:rPr>
        <w:t xml:space="preserve">, “Induction of electric field in human bodies moving near MRI: An efficient BEM computational procedure,” </w:t>
      </w:r>
      <w:r w:rsidRPr="003847DA">
        <w:rPr>
          <w:rFonts w:cs="Times New Roman"/>
          <w:i/>
          <w:iCs/>
          <w:color w:val="auto"/>
          <w:sz w:val="16"/>
          <w:szCs w:val="16"/>
        </w:rPr>
        <w:t>IEEE Trans. Biomed. Eng.</w:t>
      </w:r>
      <w:r w:rsidRPr="003847DA">
        <w:rPr>
          <w:rFonts w:cs="Times New Roman"/>
          <w:color w:val="auto"/>
          <w:sz w:val="16"/>
          <w:szCs w:val="16"/>
        </w:rPr>
        <w:t xml:space="preserve">, vol. 58, pp. 2787–2793, Oct. 2011, </w:t>
      </w:r>
      <w:proofErr w:type="spellStart"/>
      <w:r w:rsidRPr="003847DA">
        <w:rPr>
          <w:rFonts w:cs="Times New Roman"/>
          <w:color w:val="auto"/>
          <w:sz w:val="16"/>
          <w:szCs w:val="16"/>
        </w:rPr>
        <w:t>doi</w:t>
      </w:r>
      <w:proofErr w:type="spellEnd"/>
      <w:r w:rsidRPr="003847DA">
        <w:rPr>
          <w:rFonts w:cs="Times New Roman"/>
          <w:color w:val="auto"/>
          <w:sz w:val="16"/>
          <w:szCs w:val="16"/>
        </w:rPr>
        <w:t xml:space="preserve">: 10.1109/TBME.2011.2158315. </w:t>
      </w:r>
    </w:p>
    <w:p w14:paraId="3445301C" w14:textId="270163FF" w:rsidR="002C4131"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R. Fardel, M. Nagel, F. </w:t>
      </w:r>
      <w:proofErr w:type="spellStart"/>
      <w:r w:rsidRPr="003847DA">
        <w:rPr>
          <w:rFonts w:cs="Times New Roman"/>
          <w:color w:val="auto"/>
          <w:sz w:val="16"/>
          <w:szCs w:val="16"/>
        </w:rPr>
        <w:t>Nuesch</w:t>
      </w:r>
      <w:proofErr w:type="spellEnd"/>
      <w:r w:rsidRPr="003847DA">
        <w:rPr>
          <w:rFonts w:cs="Times New Roman"/>
          <w:color w:val="auto"/>
          <w:sz w:val="16"/>
          <w:szCs w:val="16"/>
        </w:rPr>
        <w:t xml:space="preserve">, T. Lippert, and A. </w:t>
      </w:r>
      <w:proofErr w:type="spellStart"/>
      <w:r w:rsidRPr="003847DA">
        <w:rPr>
          <w:rFonts w:cs="Times New Roman"/>
          <w:color w:val="auto"/>
          <w:sz w:val="16"/>
          <w:szCs w:val="16"/>
        </w:rPr>
        <w:t>Wokaun</w:t>
      </w:r>
      <w:proofErr w:type="spellEnd"/>
      <w:r w:rsidRPr="003847DA">
        <w:rPr>
          <w:rFonts w:cs="Times New Roman"/>
          <w:color w:val="auto"/>
          <w:sz w:val="16"/>
          <w:szCs w:val="16"/>
        </w:rPr>
        <w:t xml:space="preserve">, “Fabrication of organic light emitting diode pixels by laser-assisted forward transfer,” </w:t>
      </w:r>
      <w:r w:rsidRPr="003847DA">
        <w:rPr>
          <w:rFonts w:cs="Times New Roman"/>
          <w:i/>
          <w:iCs/>
          <w:color w:val="auto"/>
          <w:sz w:val="16"/>
          <w:szCs w:val="16"/>
        </w:rPr>
        <w:t>Appl. Phys. Lett.</w:t>
      </w:r>
      <w:r w:rsidRPr="003847DA">
        <w:rPr>
          <w:rFonts w:cs="Times New Roman"/>
          <w:color w:val="auto"/>
          <w:sz w:val="16"/>
          <w:szCs w:val="16"/>
        </w:rPr>
        <w:t xml:space="preserve">, vol. 91, no. 6, Aug. 2007, Art. no. 061103, </w:t>
      </w:r>
      <w:proofErr w:type="spellStart"/>
      <w:r w:rsidRPr="003847DA">
        <w:rPr>
          <w:rFonts w:cs="Times New Roman"/>
          <w:color w:val="auto"/>
          <w:sz w:val="16"/>
          <w:szCs w:val="16"/>
        </w:rPr>
        <w:t>doi</w:t>
      </w:r>
      <w:proofErr w:type="spellEnd"/>
      <w:r w:rsidRPr="003847DA">
        <w:rPr>
          <w:rFonts w:cs="Times New Roman"/>
          <w:color w:val="auto"/>
          <w:sz w:val="16"/>
          <w:szCs w:val="16"/>
        </w:rPr>
        <w:t xml:space="preserve">: 10.1063/1.2759475. </w:t>
      </w:r>
    </w:p>
    <w:p w14:paraId="7B6603CD" w14:textId="77777777" w:rsidR="003E28BD" w:rsidRPr="003847DA" w:rsidRDefault="003E28BD" w:rsidP="003E28BD">
      <w:pPr>
        <w:pStyle w:val="Default"/>
        <w:ind w:left="426"/>
        <w:jc w:val="both"/>
        <w:rPr>
          <w:rFonts w:cs="Times New Roman"/>
          <w:color w:val="auto"/>
          <w:sz w:val="16"/>
          <w:szCs w:val="16"/>
        </w:rPr>
      </w:pPr>
    </w:p>
    <w:p w14:paraId="5D53830D" w14:textId="77777777" w:rsidR="002C4131" w:rsidRPr="003847DA" w:rsidRDefault="002C4131" w:rsidP="002C4131">
      <w:pPr>
        <w:pStyle w:val="ListParagraph"/>
        <w:numPr>
          <w:ilvl w:val="0"/>
          <w:numId w:val="20"/>
        </w:numPr>
        <w:spacing w:after="0" w:line="240" w:lineRule="auto"/>
        <w:ind w:left="426" w:hanging="426"/>
        <w:jc w:val="both"/>
        <w:rPr>
          <w:rFonts w:ascii="Times New Roman" w:hAnsi="Times New Roman"/>
          <w:sz w:val="18"/>
          <w:szCs w:val="18"/>
        </w:rPr>
      </w:pPr>
      <w:r w:rsidRPr="003847DA">
        <w:rPr>
          <w:rFonts w:ascii="Times New Roman" w:hAnsi="Times New Roman"/>
          <w:b/>
          <w:bCs/>
          <w:sz w:val="18"/>
          <w:szCs w:val="18"/>
        </w:rPr>
        <w:t xml:space="preserve">Conference Proceedings </w:t>
      </w:r>
    </w:p>
    <w:p w14:paraId="67D7849A" w14:textId="77777777" w:rsidR="002C4131" w:rsidRPr="003847DA" w:rsidRDefault="002C4131" w:rsidP="002C4131">
      <w:pPr>
        <w:pStyle w:val="Default"/>
        <w:jc w:val="both"/>
        <w:rPr>
          <w:rFonts w:cs="Times New Roman"/>
          <w:color w:val="auto"/>
          <w:sz w:val="16"/>
          <w:szCs w:val="16"/>
        </w:rPr>
      </w:pPr>
      <w:r w:rsidRPr="003847DA">
        <w:rPr>
          <w:rFonts w:cs="Times New Roman"/>
          <w:i/>
          <w:iCs/>
          <w:color w:val="auto"/>
          <w:sz w:val="16"/>
          <w:szCs w:val="16"/>
        </w:rPr>
        <w:t xml:space="preserve">Basic Format: </w:t>
      </w:r>
    </w:p>
    <w:p w14:paraId="520703F3" w14:textId="77777777" w:rsidR="002C4131" w:rsidRPr="003847DA" w:rsidRDefault="002C4131" w:rsidP="002C4131">
      <w:pPr>
        <w:autoSpaceDE w:val="0"/>
        <w:autoSpaceDN w:val="0"/>
        <w:adjustRightInd w:val="0"/>
        <w:jc w:val="both"/>
        <w:rPr>
          <w:spacing w:val="-2"/>
          <w:sz w:val="16"/>
          <w:szCs w:val="16"/>
        </w:rPr>
      </w:pPr>
      <w:r w:rsidRPr="003847DA">
        <w:rPr>
          <w:spacing w:val="-2"/>
          <w:sz w:val="16"/>
          <w:szCs w:val="16"/>
        </w:rPr>
        <w:t xml:space="preserve">J. K. Author, “Title of paper,” in </w:t>
      </w:r>
      <w:r w:rsidRPr="003847DA">
        <w:rPr>
          <w:i/>
          <w:iCs/>
          <w:spacing w:val="-2"/>
          <w:sz w:val="16"/>
          <w:szCs w:val="16"/>
        </w:rPr>
        <w:t>Abbreviated Name of Conf.</w:t>
      </w:r>
      <w:r w:rsidRPr="003847DA">
        <w:rPr>
          <w:spacing w:val="-2"/>
          <w:sz w:val="16"/>
          <w:szCs w:val="16"/>
        </w:rPr>
        <w:t xml:space="preserve">, (location of conference is optional), year, pp. </w:t>
      </w:r>
      <w:r w:rsidRPr="003847DA">
        <w:rPr>
          <w:i/>
          <w:iCs/>
          <w:spacing w:val="-2"/>
          <w:sz w:val="16"/>
          <w:szCs w:val="16"/>
        </w:rPr>
        <w:t>xxx–xxx</w:t>
      </w:r>
      <w:r w:rsidRPr="003847DA">
        <w:rPr>
          <w:spacing w:val="-2"/>
          <w:sz w:val="16"/>
          <w:szCs w:val="16"/>
        </w:rPr>
        <w:t xml:space="preserve">, </w:t>
      </w:r>
      <w:proofErr w:type="spellStart"/>
      <w:r w:rsidRPr="003847DA">
        <w:rPr>
          <w:spacing w:val="-2"/>
          <w:sz w:val="16"/>
          <w:szCs w:val="16"/>
        </w:rPr>
        <w:t>doi</w:t>
      </w:r>
      <w:proofErr w:type="spellEnd"/>
      <w:r w:rsidRPr="003847DA">
        <w:rPr>
          <w:spacing w:val="-2"/>
          <w:sz w:val="16"/>
          <w:szCs w:val="16"/>
        </w:rPr>
        <w:t xml:space="preserve">: </w:t>
      </w:r>
      <w:r w:rsidRPr="003847DA">
        <w:rPr>
          <w:i/>
          <w:iCs/>
          <w:spacing w:val="-2"/>
          <w:sz w:val="16"/>
          <w:szCs w:val="16"/>
        </w:rPr>
        <w:t xml:space="preserve">xxx. </w:t>
      </w:r>
    </w:p>
    <w:p w14:paraId="722F72B7" w14:textId="77777777" w:rsidR="002C4131" w:rsidRPr="003847DA" w:rsidRDefault="002C4131" w:rsidP="002C4131">
      <w:pPr>
        <w:pStyle w:val="Default"/>
        <w:jc w:val="both"/>
        <w:rPr>
          <w:rFonts w:cs="Times New Roman"/>
          <w:i/>
          <w:iCs/>
          <w:color w:val="auto"/>
          <w:sz w:val="16"/>
          <w:szCs w:val="16"/>
        </w:rPr>
      </w:pPr>
      <w:r w:rsidRPr="003847DA">
        <w:rPr>
          <w:rFonts w:cs="Times New Roman"/>
          <w:i/>
          <w:iCs/>
          <w:color w:val="auto"/>
          <w:sz w:val="16"/>
          <w:szCs w:val="16"/>
        </w:rPr>
        <w:t xml:space="preserve">Examples: </w:t>
      </w:r>
    </w:p>
    <w:p w14:paraId="2150D6D6"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G. </w:t>
      </w:r>
      <w:proofErr w:type="spellStart"/>
      <w:r w:rsidRPr="003847DA">
        <w:rPr>
          <w:rFonts w:cs="Times New Roman"/>
          <w:color w:val="auto"/>
          <w:sz w:val="16"/>
          <w:szCs w:val="16"/>
        </w:rPr>
        <w:t>Veruggio</w:t>
      </w:r>
      <w:proofErr w:type="spellEnd"/>
      <w:r w:rsidRPr="003847DA">
        <w:rPr>
          <w:rFonts w:cs="Times New Roman"/>
          <w:color w:val="auto"/>
          <w:sz w:val="16"/>
          <w:szCs w:val="16"/>
        </w:rPr>
        <w:t xml:space="preserve">, “The EURON </w:t>
      </w:r>
      <w:proofErr w:type="spellStart"/>
      <w:r w:rsidRPr="003847DA">
        <w:rPr>
          <w:rFonts w:cs="Times New Roman"/>
          <w:color w:val="auto"/>
          <w:sz w:val="16"/>
          <w:szCs w:val="16"/>
        </w:rPr>
        <w:t>roboethics</w:t>
      </w:r>
      <w:proofErr w:type="spellEnd"/>
      <w:r w:rsidRPr="003847DA">
        <w:rPr>
          <w:rFonts w:cs="Times New Roman"/>
          <w:color w:val="auto"/>
          <w:sz w:val="16"/>
          <w:szCs w:val="16"/>
        </w:rPr>
        <w:t xml:space="preserve"> roadmap,” in </w:t>
      </w:r>
      <w:r w:rsidRPr="003847DA">
        <w:rPr>
          <w:rFonts w:cs="Times New Roman"/>
          <w:i/>
          <w:iCs/>
          <w:color w:val="auto"/>
          <w:sz w:val="16"/>
          <w:szCs w:val="16"/>
        </w:rPr>
        <w:t>Proc. Humanoids ’06: 6th IEEE-RAS Int. Conf. Humanoid Robots</w:t>
      </w:r>
      <w:r w:rsidRPr="003847DA">
        <w:rPr>
          <w:rFonts w:cs="Times New Roman"/>
          <w:color w:val="auto"/>
          <w:sz w:val="16"/>
          <w:szCs w:val="16"/>
        </w:rPr>
        <w:t xml:space="preserve">, 2006, pp. 612–617, </w:t>
      </w:r>
      <w:proofErr w:type="spellStart"/>
      <w:r w:rsidRPr="003847DA">
        <w:rPr>
          <w:rFonts w:cs="Times New Roman"/>
          <w:color w:val="auto"/>
          <w:sz w:val="16"/>
          <w:szCs w:val="16"/>
        </w:rPr>
        <w:t>doi</w:t>
      </w:r>
      <w:proofErr w:type="spellEnd"/>
      <w:r w:rsidRPr="003847DA">
        <w:rPr>
          <w:rFonts w:cs="Times New Roman"/>
          <w:color w:val="auto"/>
          <w:sz w:val="16"/>
          <w:szCs w:val="16"/>
        </w:rPr>
        <w:t xml:space="preserve">: 10.1109/ICHR.2006.321337. </w:t>
      </w:r>
    </w:p>
    <w:p w14:paraId="354E8910"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J. Zhao, G. Sun, G. H. </w:t>
      </w:r>
      <w:proofErr w:type="spellStart"/>
      <w:r w:rsidRPr="003847DA">
        <w:rPr>
          <w:rFonts w:cs="Times New Roman"/>
          <w:color w:val="auto"/>
          <w:sz w:val="16"/>
          <w:szCs w:val="16"/>
        </w:rPr>
        <w:t>Loh</w:t>
      </w:r>
      <w:proofErr w:type="spellEnd"/>
      <w:r w:rsidRPr="003847DA">
        <w:rPr>
          <w:rFonts w:cs="Times New Roman"/>
          <w:color w:val="auto"/>
          <w:sz w:val="16"/>
          <w:szCs w:val="16"/>
        </w:rPr>
        <w:t xml:space="preserve">, and Y. </w:t>
      </w:r>
      <w:proofErr w:type="spellStart"/>
      <w:r w:rsidRPr="003847DA">
        <w:rPr>
          <w:rFonts w:cs="Times New Roman"/>
          <w:color w:val="auto"/>
          <w:sz w:val="16"/>
          <w:szCs w:val="16"/>
        </w:rPr>
        <w:t>Xie</w:t>
      </w:r>
      <w:proofErr w:type="spellEnd"/>
      <w:r w:rsidRPr="003847DA">
        <w:rPr>
          <w:rFonts w:cs="Times New Roman"/>
          <w:color w:val="auto"/>
          <w:sz w:val="16"/>
          <w:szCs w:val="16"/>
        </w:rPr>
        <w:t xml:space="preserve">, “Energy-efficient GPU design with reconfigurable in-package graphics memory,” in </w:t>
      </w:r>
      <w:r w:rsidRPr="003847DA">
        <w:rPr>
          <w:rFonts w:cs="Times New Roman"/>
          <w:i/>
          <w:iCs/>
          <w:color w:val="auto"/>
          <w:sz w:val="16"/>
          <w:szCs w:val="16"/>
        </w:rPr>
        <w:t xml:space="preserve">Proc. ACM/IEEE Int. </w:t>
      </w:r>
      <w:proofErr w:type="spellStart"/>
      <w:r w:rsidRPr="003847DA">
        <w:rPr>
          <w:rFonts w:cs="Times New Roman"/>
          <w:i/>
          <w:iCs/>
          <w:color w:val="auto"/>
          <w:sz w:val="16"/>
          <w:szCs w:val="16"/>
        </w:rPr>
        <w:t>Symp</w:t>
      </w:r>
      <w:proofErr w:type="spellEnd"/>
      <w:r w:rsidRPr="003847DA">
        <w:rPr>
          <w:rFonts w:cs="Times New Roman"/>
          <w:i/>
          <w:iCs/>
          <w:color w:val="auto"/>
          <w:sz w:val="16"/>
          <w:szCs w:val="16"/>
        </w:rPr>
        <w:t>. Low Power Electron. Design (ISLPED)</w:t>
      </w:r>
      <w:r w:rsidRPr="003847DA">
        <w:rPr>
          <w:rFonts w:cs="Times New Roman"/>
          <w:color w:val="auto"/>
          <w:sz w:val="16"/>
          <w:szCs w:val="16"/>
        </w:rPr>
        <w:t xml:space="preserve">, Jul. 2012, pp. 403–408, </w:t>
      </w:r>
      <w:proofErr w:type="spellStart"/>
      <w:r w:rsidRPr="003847DA">
        <w:rPr>
          <w:rFonts w:cs="Times New Roman"/>
          <w:color w:val="auto"/>
          <w:sz w:val="16"/>
          <w:szCs w:val="16"/>
        </w:rPr>
        <w:t>doi</w:t>
      </w:r>
      <w:proofErr w:type="spellEnd"/>
      <w:r w:rsidRPr="003847DA">
        <w:rPr>
          <w:rFonts w:cs="Times New Roman"/>
          <w:color w:val="auto"/>
          <w:sz w:val="16"/>
          <w:szCs w:val="16"/>
        </w:rPr>
        <w:t xml:space="preserve">: 10.1145/2333660.2333752. </w:t>
      </w:r>
    </w:p>
    <w:p w14:paraId="20ED02EE" w14:textId="77777777" w:rsidR="002C4131" w:rsidRPr="003847DA" w:rsidRDefault="002C4131" w:rsidP="002C4131">
      <w:pPr>
        <w:jc w:val="both"/>
        <w:rPr>
          <w:b/>
          <w:bCs/>
        </w:rPr>
      </w:pPr>
    </w:p>
    <w:p w14:paraId="3F962F51" w14:textId="77777777" w:rsidR="002C4131" w:rsidRPr="003847DA" w:rsidRDefault="002C4131" w:rsidP="002C4131">
      <w:pPr>
        <w:pStyle w:val="ListParagraph"/>
        <w:numPr>
          <w:ilvl w:val="0"/>
          <w:numId w:val="20"/>
        </w:numPr>
        <w:spacing w:after="0" w:line="240" w:lineRule="auto"/>
        <w:ind w:left="426" w:hanging="426"/>
        <w:jc w:val="both"/>
        <w:rPr>
          <w:rFonts w:ascii="Times New Roman" w:hAnsi="Times New Roman"/>
          <w:b/>
          <w:bCs/>
          <w:sz w:val="18"/>
          <w:szCs w:val="18"/>
        </w:rPr>
      </w:pPr>
      <w:r w:rsidRPr="003847DA">
        <w:rPr>
          <w:rFonts w:ascii="Times New Roman" w:hAnsi="Times New Roman"/>
          <w:b/>
          <w:bCs/>
          <w:sz w:val="18"/>
          <w:szCs w:val="18"/>
        </w:rPr>
        <w:t>Book</w:t>
      </w:r>
    </w:p>
    <w:p w14:paraId="7FA1FB82" w14:textId="77777777" w:rsidR="002C4131" w:rsidRPr="003847DA" w:rsidRDefault="002C4131" w:rsidP="002C4131">
      <w:pPr>
        <w:pStyle w:val="Default"/>
        <w:jc w:val="both"/>
        <w:rPr>
          <w:rFonts w:cs="Times New Roman"/>
          <w:i/>
          <w:iCs/>
          <w:color w:val="auto"/>
          <w:sz w:val="16"/>
          <w:szCs w:val="16"/>
        </w:rPr>
      </w:pPr>
      <w:r w:rsidRPr="003847DA">
        <w:rPr>
          <w:rFonts w:cs="Times New Roman"/>
          <w:i/>
          <w:iCs/>
          <w:color w:val="auto"/>
          <w:sz w:val="16"/>
          <w:szCs w:val="16"/>
        </w:rPr>
        <w:t xml:space="preserve">Basic Format: </w:t>
      </w:r>
    </w:p>
    <w:p w14:paraId="043A9634" w14:textId="77777777" w:rsidR="002C4131" w:rsidRPr="003847DA" w:rsidRDefault="002C4131" w:rsidP="002C4131">
      <w:pPr>
        <w:autoSpaceDE w:val="0"/>
        <w:autoSpaceDN w:val="0"/>
        <w:adjustRightInd w:val="0"/>
        <w:jc w:val="both"/>
        <w:rPr>
          <w:sz w:val="16"/>
          <w:szCs w:val="16"/>
        </w:rPr>
      </w:pPr>
      <w:r w:rsidRPr="003847DA">
        <w:rPr>
          <w:sz w:val="16"/>
          <w:szCs w:val="16"/>
        </w:rPr>
        <w:t xml:space="preserve">J. K. Author, “Title of chapter in the book,” in </w:t>
      </w:r>
      <w:r w:rsidRPr="003847DA">
        <w:rPr>
          <w:i/>
          <w:iCs/>
          <w:sz w:val="16"/>
          <w:szCs w:val="16"/>
        </w:rPr>
        <w:t>Title of His Published Book</w:t>
      </w:r>
      <w:r w:rsidRPr="003847DA">
        <w:rPr>
          <w:sz w:val="16"/>
          <w:szCs w:val="16"/>
        </w:rPr>
        <w:t xml:space="preserve">, X. Editor, Ed., </w:t>
      </w:r>
      <w:proofErr w:type="spellStart"/>
      <w:r w:rsidRPr="003847DA">
        <w:rPr>
          <w:i/>
          <w:iCs/>
          <w:sz w:val="16"/>
          <w:szCs w:val="16"/>
        </w:rPr>
        <w:t>x</w:t>
      </w:r>
      <w:r w:rsidRPr="003847DA">
        <w:rPr>
          <w:sz w:val="16"/>
          <w:szCs w:val="16"/>
        </w:rPr>
        <w:t>th</w:t>
      </w:r>
      <w:proofErr w:type="spellEnd"/>
      <w:r w:rsidRPr="003847DA">
        <w:rPr>
          <w:sz w:val="16"/>
          <w:szCs w:val="16"/>
        </w:rPr>
        <w:t xml:space="preserve"> ed. City of Publisher, State (only U.S.), Country: Abbrev. of Publisher, year, </w:t>
      </w:r>
      <w:proofErr w:type="spellStart"/>
      <w:r w:rsidRPr="003847DA">
        <w:rPr>
          <w:sz w:val="16"/>
          <w:szCs w:val="16"/>
        </w:rPr>
        <w:t>ch.</w:t>
      </w:r>
      <w:proofErr w:type="spellEnd"/>
      <w:r w:rsidRPr="003847DA">
        <w:rPr>
          <w:sz w:val="16"/>
          <w:szCs w:val="16"/>
        </w:rPr>
        <w:t xml:space="preserve"> </w:t>
      </w:r>
      <w:r w:rsidRPr="003847DA">
        <w:rPr>
          <w:i/>
          <w:iCs/>
          <w:sz w:val="16"/>
          <w:szCs w:val="16"/>
        </w:rPr>
        <w:t>x</w:t>
      </w:r>
      <w:r w:rsidRPr="003847DA">
        <w:rPr>
          <w:sz w:val="16"/>
          <w:szCs w:val="16"/>
        </w:rPr>
        <w:t xml:space="preserve">, sec. </w:t>
      </w:r>
      <w:r w:rsidRPr="003847DA">
        <w:rPr>
          <w:i/>
          <w:iCs/>
          <w:sz w:val="16"/>
          <w:szCs w:val="16"/>
        </w:rPr>
        <w:t>x</w:t>
      </w:r>
      <w:r w:rsidRPr="003847DA">
        <w:rPr>
          <w:sz w:val="16"/>
          <w:szCs w:val="16"/>
        </w:rPr>
        <w:t xml:space="preserve">, pp. </w:t>
      </w:r>
      <w:r w:rsidRPr="003847DA">
        <w:rPr>
          <w:i/>
          <w:iCs/>
          <w:sz w:val="16"/>
          <w:szCs w:val="16"/>
        </w:rPr>
        <w:t xml:space="preserve">xxx–xxx. </w:t>
      </w:r>
    </w:p>
    <w:p w14:paraId="56A0F2A0" w14:textId="77777777" w:rsidR="002C4131" w:rsidRPr="003847DA" w:rsidRDefault="002C4131" w:rsidP="002C4131">
      <w:pPr>
        <w:jc w:val="both"/>
        <w:rPr>
          <w:i/>
          <w:iCs/>
          <w:sz w:val="16"/>
          <w:szCs w:val="16"/>
        </w:rPr>
      </w:pPr>
      <w:r w:rsidRPr="003847DA">
        <w:rPr>
          <w:i/>
          <w:iCs/>
          <w:sz w:val="16"/>
          <w:szCs w:val="16"/>
        </w:rPr>
        <w:t>Examples:</w:t>
      </w:r>
    </w:p>
    <w:p w14:paraId="7788C4A1"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A. </w:t>
      </w:r>
      <w:proofErr w:type="spellStart"/>
      <w:r w:rsidRPr="003847DA">
        <w:rPr>
          <w:rFonts w:cs="Times New Roman"/>
          <w:color w:val="auto"/>
          <w:sz w:val="16"/>
          <w:szCs w:val="16"/>
        </w:rPr>
        <w:t>Taflove</w:t>
      </w:r>
      <w:proofErr w:type="spellEnd"/>
      <w:r w:rsidRPr="003847DA">
        <w:rPr>
          <w:rFonts w:cs="Times New Roman"/>
          <w:color w:val="auto"/>
          <w:sz w:val="16"/>
          <w:szCs w:val="16"/>
        </w:rPr>
        <w:t xml:space="preserve">, </w:t>
      </w:r>
      <w:r w:rsidRPr="003847DA">
        <w:rPr>
          <w:rFonts w:cs="Times New Roman"/>
          <w:i/>
          <w:iCs/>
          <w:color w:val="auto"/>
          <w:sz w:val="16"/>
          <w:szCs w:val="16"/>
        </w:rPr>
        <w:t xml:space="preserve">Computational Electrodynamics: The Finite-Difference Time-Domain Method </w:t>
      </w:r>
      <w:r w:rsidRPr="003847DA">
        <w:rPr>
          <w:rFonts w:cs="Times New Roman"/>
          <w:color w:val="auto"/>
          <w:sz w:val="16"/>
          <w:szCs w:val="16"/>
        </w:rPr>
        <w:t xml:space="preserve">in Computational Electrodynamics II, vol. 3, 2nd ed. Norwood, MA, USA: Artech House, 1996. </w:t>
      </w:r>
    </w:p>
    <w:p w14:paraId="54EC52E4"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R. L. Myer, “Parametric oscillators and nonlinear materials,” in </w:t>
      </w:r>
      <w:r w:rsidRPr="003847DA">
        <w:rPr>
          <w:rFonts w:cs="Times New Roman"/>
          <w:i/>
          <w:iCs/>
          <w:color w:val="auto"/>
          <w:sz w:val="16"/>
          <w:szCs w:val="16"/>
        </w:rPr>
        <w:t>Nonlinear Optics</w:t>
      </w:r>
      <w:r w:rsidRPr="003847DA">
        <w:rPr>
          <w:rFonts w:cs="Times New Roman"/>
          <w:color w:val="auto"/>
          <w:sz w:val="16"/>
          <w:szCs w:val="16"/>
        </w:rPr>
        <w:t xml:space="preserve">, vol. 4, P. G. Harper and B. S. </w:t>
      </w:r>
      <w:proofErr w:type="spellStart"/>
      <w:r w:rsidRPr="003847DA">
        <w:rPr>
          <w:rFonts w:cs="Times New Roman"/>
          <w:color w:val="auto"/>
          <w:sz w:val="16"/>
          <w:szCs w:val="16"/>
        </w:rPr>
        <w:t>Wherret</w:t>
      </w:r>
      <w:proofErr w:type="spellEnd"/>
      <w:r w:rsidRPr="003847DA">
        <w:rPr>
          <w:rFonts w:cs="Times New Roman"/>
          <w:color w:val="auto"/>
          <w:sz w:val="16"/>
          <w:szCs w:val="16"/>
        </w:rPr>
        <w:t xml:space="preserve">, Eds., San Francisco, CA, USA: Academic, 1977, pp. 47–160. </w:t>
      </w:r>
    </w:p>
    <w:p w14:paraId="0934DF28" w14:textId="77777777" w:rsidR="002C4131" w:rsidRPr="003847DA" w:rsidRDefault="002C4131" w:rsidP="002C4131">
      <w:pPr>
        <w:jc w:val="both"/>
        <w:rPr>
          <w:sz w:val="16"/>
        </w:rPr>
      </w:pPr>
    </w:p>
    <w:p w14:paraId="4C61AB57" w14:textId="77777777" w:rsidR="002C4131" w:rsidRPr="003847DA" w:rsidRDefault="002C4131" w:rsidP="002C4131">
      <w:pPr>
        <w:pStyle w:val="ListParagraph"/>
        <w:numPr>
          <w:ilvl w:val="0"/>
          <w:numId w:val="20"/>
        </w:numPr>
        <w:spacing w:after="0" w:line="240" w:lineRule="auto"/>
        <w:ind w:left="426" w:hanging="426"/>
        <w:jc w:val="both"/>
        <w:rPr>
          <w:rFonts w:ascii="Times New Roman" w:hAnsi="Times New Roman"/>
          <w:b/>
          <w:bCs/>
          <w:sz w:val="18"/>
          <w:szCs w:val="18"/>
        </w:rPr>
      </w:pPr>
      <w:r w:rsidRPr="003847DA">
        <w:rPr>
          <w:rFonts w:ascii="Times New Roman" w:hAnsi="Times New Roman"/>
          <w:b/>
          <w:bCs/>
          <w:sz w:val="18"/>
          <w:szCs w:val="18"/>
        </w:rPr>
        <w:t xml:space="preserve">M. Theses (B.S., M.S.) and Dissertations (Ph.D.) </w:t>
      </w:r>
    </w:p>
    <w:p w14:paraId="59F71015" w14:textId="77777777" w:rsidR="002C4131" w:rsidRPr="003847DA" w:rsidRDefault="002C4131" w:rsidP="002C4131">
      <w:pPr>
        <w:pStyle w:val="Default"/>
        <w:jc w:val="both"/>
        <w:rPr>
          <w:rFonts w:cs="Times New Roman"/>
          <w:color w:val="auto"/>
          <w:sz w:val="16"/>
          <w:szCs w:val="16"/>
        </w:rPr>
      </w:pPr>
      <w:r w:rsidRPr="003847DA">
        <w:rPr>
          <w:rFonts w:cs="Times New Roman"/>
          <w:i/>
          <w:iCs/>
          <w:color w:val="auto"/>
          <w:sz w:val="16"/>
          <w:szCs w:val="16"/>
        </w:rPr>
        <w:t xml:space="preserve">Basic Format: </w:t>
      </w:r>
    </w:p>
    <w:p w14:paraId="7630C98C" w14:textId="77777777" w:rsidR="002C4131" w:rsidRPr="003847DA" w:rsidRDefault="002C4131" w:rsidP="002C4131">
      <w:pPr>
        <w:pStyle w:val="Default"/>
        <w:jc w:val="both"/>
        <w:rPr>
          <w:rFonts w:cs="Times New Roman"/>
          <w:color w:val="auto"/>
          <w:sz w:val="16"/>
          <w:szCs w:val="16"/>
        </w:rPr>
      </w:pPr>
      <w:r w:rsidRPr="003847DA">
        <w:rPr>
          <w:rFonts w:cs="Times New Roman"/>
          <w:color w:val="auto"/>
          <w:sz w:val="16"/>
          <w:szCs w:val="16"/>
        </w:rPr>
        <w:t xml:space="preserve">J. K. Author, “Title of thesis,” M.S. thesis, Abbrev. Dept., Abbrev. Univ., City of Univ., Abbrev. State, year. </w:t>
      </w:r>
    </w:p>
    <w:p w14:paraId="48B0EA7B" w14:textId="77777777" w:rsidR="002C4131" w:rsidRPr="003847DA" w:rsidRDefault="002C4131" w:rsidP="002C4131">
      <w:pPr>
        <w:pStyle w:val="Default"/>
        <w:jc w:val="both"/>
        <w:rPr>
          <w:rFonts w:cs="Times New Roman"/>
          <w:color w:val="auto"/>
          <w:sz w:val="16"/>
          <w:szCs w:val="16"/>
        </w:rPr>
      </w:pPr>
      <w:r w:rsidRPr="003847DA">
        <w:rPr>
          <w:rFonts w:cs="Times New Roman"/>
          <w:color w:val="auto"/>
          <w:sz w:val="16"/>
          <w:szCs w:val="16"/>
        </w:rPr>
        <w:t xml:space="preserve">J. K. Author, “Title of dissertation,” Ph.D. dissertation, Abbrev. Dept., Abbrev. Univ., City of Univ., Abbrev. State, year. </w:t>
      </w:r>
    </w:p>
    <w:p w14:paraId="46205CCE" w14:textId="77777777" w:rsidR="002C4131" w:rsidRPr="003847DA" w:rsidRDefault="002C4131" w:rsidP="002C4131">
      <w:pPr>
        <w:pStyle w:val="Default"/>
        <w:jc w:val="both"/>
        <w:rPr>
          <w:rFonts w:cs="Times New Roman"/>
          <w:color w:val="auto"/>
          <w:sz w:val="16"/>
          <w:szCs w:val="16"/>
        </w:rPr>
      </w:pPr>
      <w:r w:rsidRPr="003847DA">
        <w:rPr>
          <w:rFonts w:cs="Times New Roman"/>
          <w:i/>
          <w:iCs/>
          <w:color w:val="auto"/>
          <w:sz w:val="16"/>
          <w:szCs w:val="16"/>
        </w:rPr>
        <w:t xml:space="preserve">Examples: </w:t>
      </w:r>
    </w:p>
    <w:p w14:paraId="629528CB"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J. O. Williams, “Narrow-band analyzer,” Ph.D. dissertation, Dept. Elect. Eng., Harvard Univ., Cambridge, MA, USA, 1993. </w:t>
      </w:r>
    </w:p>
    <w:p w14:paraId="0F4AEB69" w14:textId="77777777" w:rsidR="002C4131" w:rsidRPr="003847DA" w:rsidRDefault="002C4131" w:rsidP="002C4131">
      <w:pPr>
        <w:pStyle w:val="Default"/>
        <w:numPr>
          <w:ilvl w:val="0"/>
          <w:numId w:val="21"/>
        </w:numPr>
        <w:ind w:left="426"/>
        <w:jc w:val="both"/>
        <w:rPr>
          <w:rFonts w:cs="Times New Roman"/>
          <w:color w:val="auto"/>
          <w:sz w:val="16"/>
          <w:szCs w:val="16"/>
        </w:rPr>
      </w:pPr>
      <w:r w:rsidRPr="003847DA">
        <w:rPr>
          <w:rFonts w:cs="Times New Roman"/>
          <w:color w:val="auto"/>
          <w:sz w:val="16"/>
          <w:szCs w:val="16"/>
        </w:rPr>
        <w:t xml:space="preserve">N. Kawasaki, “Parametric study of thermal and chemical nonequilibrium nozzle flow,” M.S. thesis, Dept. Electron. Eng., Osaka Univ., Osaka, Japan, 1993. </w:t>
      </w:r>
    </w:p>
    <w:p w14:paraId="4835D1B1" w14:textId="77777777" w:rsidR="002C4131" w:rsidRPr="003847DA" w:rsidRDefault="002C4131" w:rsidP="002C4131">
      <w:pPr>
        <w:pStyle w:val="Default"/>
        <w:rPr>
          <w:rFonts w:cs="Times New Roman"/>
          <w:color w:val="auto"/>
          <w:sz w:val="16"/>
          <w:szCs w:val="20"/>
        </w:rPr>
      </w:pPr>
    </w:p>
    <w:p w14:paraId="53BA5621" w14:textId="77777777" w:rsidR="002C4131" w:rsidRPr="003847DA" w:rsidRDefault="002C4131" w:rsidP="002C4131">
      <w:pPr>
        <w:rPr>
          <w:sz w:val="16"/>
          <w:szCs w:val="16"/>
        </w:rPr>
      </w:pPr>
      <w:r w:rsidRPr="003847DA">
        <w:rPr>
          <w:sz w:val="16"/>
          <w:szCs w:val="16"/>
        </w:rPr>
        <w:t xml:space="preserve">*In the reference list, however, list all the authors for up to six authors. Use </w:t>
      </w:r>
      <w:r w:rsidRPr="003847DA">
        <w:rPr>
          <w:i/>
          <w:iCs/>
          <w:sz w:val="16"/>
          <w:szCs w:val="16"/>
        </w:rPr>
        <w:t>et al.</w:t>
      </w:r>
      <w:r w:rsidRPr="003847DA">
        <w:rPr>
          <w:sz w:val="16"/>
          <w:szCs w:val="16"/>
        </w:rPr>
        <w:t xml:space="preserve"> only if: 1) The names are not given and 2) List of authors more than 6. </w:t>
      </w:r>
      <w:r w:rsidRPr="003847DA">
        <w:rPr>
          <w:i/>
          <w:iCs/>
          <w:sz w:val="16"/>
          <w:szCs w:val="16"/>
        </w:rPr>
        <w:t>Example</w:t>
      </w:r>
      <w:r w:rsidRPr="003847DA">
        <w:rPr>
          <w:sz w:val="16"/>
          <w:szCs w:val="16"/>
        </w:rPr>
        <w:t xml:space="preserve">: J. D. Bellamy </w:t>
      </w:r>
      <w:r w:rsidRPr="003847DA">
        <w:rPr>
          <w:i/>
          <w:iCs/>
          <w:sz w:val="16"/>
          <w:szCs w:val="16"/>
        </w:rPr>
        <w:t>et al.</w:t>
      </w:r>
      <w:r w:rsidRPr="003847DA">
        <w:rPr>
          <w:sz w:val="16"/>
          <w:szCs w:val="16"/>
        </w:rPr>
        <w:t>, Computer Telephony Integration, New York: Wiley, 2010.</w:t>
      </w:r>
    </w:p>
    <w:bookmarkEnd w:id="12"/>
    <w:bookmarkEnd w:id="13"/>
    <w:bookmarkEnd w:id="15"/>
    <w:p w14:paraId="4BC3F173" w14:textId="77777777" w:rsidR="00E619D6" w:rsidRPr="003847DA" w:rsidRDefault="00E619D6" w:rsidP="00E619D6">
      <w:pPr>
        <w:jc w:val="both"/>
      </w:pPr>
    </w:p>
    <w:p w14:paraId="37129761" w14:textId="7A93E79D" w:rsidR="00E619D6" w:rsidRPr="003847DA" w:rsidRDefault="00E619D6" w:rsidP="00E619D6">
      <w:pPr>
        <w:jc w:val="both"/>
        <w:rPr>
          <w:i/>
          <w:iCs/>
          <w:sz w:val="18"/>
          <w:szCs w:val="18"/>
        </w:rPr>
      </w:pPr>
      <w:r w:rsidRPr="003847DA">
        <w:rPr>
          <w:i/>
          <w:iCs/>
          <w:sz w:val="18"/>
          <w:szCs w:val="18"/>
        </w:rPr>
        <w:t>See the examples:</w:t>
      </w:r>
    </w:p>
    <w:p w14:paraId="2969FE6E" w14:textId="77777777" w:rsidR="00354A58" w:rsidRPr="003847DA" w:rsidRDefault="00354A58" w:rsidP="00354A58">
      <w:pPr>
        <w:jc w:val="both"/>
        <w:rPr>
          <w:i/>
          <w:iCs/>
          <w:sz w:val="18"/>
          <w:szCs w:val="18"/>
        </w:rPr>
      </w:pPr>
      <w:bookmarkStart w:id="16" w:name="_Hlk78354977"/>
      <w:r w:rsidRPr="003847DA">
        <w:rPr>
          <w:rStyle w:val="apple-style-span"/>
          <w:b/>
          <w:lang w:val="pt-BR"/>
        </w:rPr>
        <w:t>REFERENCES</w:t>
      </w:r>
    </w:p>
    <w:bookmarkEnd w:id="16"/>
    <w:p w14:paraId="04D992E4"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16"/>
        </w:rPr>
        <w:fldChar w:fldCharType="begin" w:fldLock="1"/>
      </w:r>
      <w:r w:rsidRPr="003847DA">
        <w:rPr>
          <w:noProof/>
          <w:sz w:val="16"/>
          <w:szCs w:val="16"/>
        </w:rPr>
        <w:instrText xml:space="preserve">ADDIN Mendeley Bibliography CSL_BIBLIOGRAPHY </w:instrText>
      </w:r>
      <w:r w:rsidRPr="003847DA">
        <w:rPr>
          <w:noProof/>
          <w:sz w:val="16"/>
          <w:szCs w:val="16"/>
        </w:rPr>
        <w:fldChar w:fldCharType="separate"/>
      </w:r>
      <w:r w:rsidRPr="003847DA">
        <w:rPr>
          <w:noProof/>
          <w:sz w:val="16"/>
          <w:szCs w:val="22"/>
        </w:rPr>
        <w:t>[1]</w:t>
      </w:r>
      <w:r w:rsidRPr="003847DA">
        <w:rPr>
          <w:noProof/>
          <w:sz w:val="16"/>
          <w:szCs w:val="22"/>
        </w:rPr>
        <w:tab/>
        <w:t xml:space="preserve">K. A. Stepien and A. Baernstein, “Educating for empathy: A review,” </w:t>
      </w:r>
      <w:r w:rsidRPr="003847DA">
        <w:rPr>
          <w:i/>
          <w:iCs/>
          <w:noProof/>
          <w:sz w:val="16"/>
          <w:szCs w:val="22"/>
        </w:rPr>
        <w:t>J. Gen. Intern. Med.</w:t>
      </w:r>
      <w:r w:rsidRPr="003847DA">
        <w:rPr>
          <w:noProof/>
          <w:sz w:val="16"/>
          <w:szCs w:val="22"/>
        </w:rPr>
        <w:t>, vol. 21, no. 5, pp. 524–530, 2006, doi: 10.1111/j.1525-1497.2006.00443.x.</w:t>
      </w:r>
    </w:p>
    <w:p w14:paraId="29E4F245"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[2]</w:t>
      </w:r>
      <w:r w:rsidRPr="003847DA">
        <w:rPr>
          <w:noProof/>
          <w:sz w:val="16"/>
          <w:szCs w:val="22"/>
        </w:rPr>
        <w:tab/>
        <w:t xml:space="preserve">D. Jeffrey and R. Downie, “Empathy-Can it be taught?,” </w:t>
      </w:r>
      <w:r w:rsidRPr="003847DA">
        <w:rPr>
          <w:i/>
          <w:iCs/>
          <w:noProof/>
          <w:sz w:val="16"/>
          <w:szCs w:val="22"/>
        </w:rPr>
        <w:t>J. R. Coll. Physicians Edinb.</w:t>
      </w:r>
      <w:r w:rsidRPr="003847DA">
        <w:rPr>
          <w:noProof/>
          <w:sz w:val="16"/>
          <w:szCs w:val="22"/>
        </w:rPr>
        <w:t>, vol. 46, no. 2, pp. 107–112, 2016, doi: 10.4997/JRCPE.2016.210.</w:t>
      </w:r>
    </w:p>
    <w:p w14:paraId="4F2F18CF"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[3]</w:t>
      </w:r>
      <w:r w:rsidRPr="003847DA">
        <w:rPr>
          <w:noProof/>
          <w:sz w:val="16"/>
          <w:szCs w:val="22"/>
        </w:rPr>
        <w:tab/>
        <w:t xml:space="preserve">R. Mathews and C. M. Spencer, “National security strategy for U.S. water,” </w:t>
      </w:r>
      <w:r w:rsidRPr="003847DA">
        <w:rPr>
          <w:i/>
          <w:iCs/>
          <w:noProof/>
          <w:sz w:val="16"/>
          <w:szCs w:val="22"/>
        </w:rPr>
        <w:t>IEEE Eng. Med. Biol. Mag.</w:t>
      </w:r>
      <w:r w:rsidRPr="003847DA">
        <w:rPr>
          <w:noProof/>
          <w:sz w:val="16"/>
          <w:szCs w:val="22"/>
        </w:rPr>
        <w:t>, vol. 27, no. 6, pp. 42–53, 2008, doi: 10.1109/MEMB.2008.929887.</w:t>
      </w:r>
    </w:p>
    <w:p w14:paraId="5CD78B93"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[4]</w:t>
      </w:r>
      <w:r w:rsidRPr="003847DA">
        <w:rPr>
          <w:noProof/>
          <w:sz w:val="16"/>
          <w:szCs w:val="22"/>
        </w:rPr>
        <w:tab/>
        <w:t xml:space="preserve">Y. Azhar and R. Afdian, “Feature selection on pregnancy risk classification using C5.0 method,” </w:t>
      </w:r>
      <w:r w:rsidRPr="003847DA">
        <w:rPr>
          <w:i/>
          <w:iCs/>
          <w:noProof/>
          <w:sz w:val="16"/>
          <w:szCs w:val="22"/>
        </w:rPr>
        <w:t>Kinetik</w:t>
      </w:r>
      <w:r w:rsidRPr="003847DA">
        <w:rPr>
          <w:noProof/>
          <w:sz w:val="16"/>
          <w:szCs w:val="22"/>
        </w:rPr>
        <w:t>, vol. 3, no. 4, pp. 345–350, 2018, doi: 10.22219/kinetik.v3i4.703.</w:t>
      </w:r>
    </w:p>
    <w:p w14:paraId="54126017"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[5]</w:t>
      </w:r>
      <w:r w:rsidRPr="003847DA">
        <w:rPr>
          <w:noProof/>
          <w:sz w:val="16"/>
          <w:szCs w:val="22"/>
        </w:rPr>
        <w:tab/>
        <w:t xml:space="preserve">L. Buckingham </w:t>
      </w:r>
      <w:r w:rsidRPr="003847DA">
        <w:rPr>
          <w:i/>
          <w:iCs/>
          <w:noProof/>
          <w:sz w:val="16"/>
          <w:szCs w:val="22"/>
        </w:rPr>
        <w:t>et al.</w:t>
      </w:r>
      <w:r w:rsidRPr="003847DA">
        <w:rPr>
          <w:noProof/>
          <w:sz w:val="16"/>
          <w:szCs w:val="22"/>
        </w:rPr>
        <w:t xml:space="preserve">, “Going Social: Success in Online Recruitment of Men Who Have Sex with Men for Prevention HIV Vaccine Research,” </w:t>
      </w:r>
      <w:r w:rsidRPr="003847DA">
        <w:rPr>
          <w:i/>
          <w:iCs/>
          <w:noProof/>
          <w:sz w:val="16"/>
          <w:szCs w:val="22"/>
        </w:rPr>
        <w:t>Vaccine</w:t>
      </w:r>
      <w:r w:rsidRPr="003847DA">
        <w:rPr>
          <w:noProof/>
          <w:sz w:val="16"/>
          <w:szCs w:val="22"/>
        </w:rPr>
        <w:t>, vol. 35, no. 27, pp. 3498–3505, 2017, doi: 10.1016/j.vaccine.2017.05.002.</w:t>
      </w:r>
    </w:p>
    <w:p w14:paraId="5FFD3C74"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[6]</w:t>
      </w:r>
      <w:r w:rsidRPr="003847DA">
        <w:rPr>
          <w:noProof/>
          <w:sz w:val="16"/>
          <w:szCs w:val="22"/>
        </w:rPr>
        <w:tab/>
        <w:t xml:space="preserve">J. Bian </w:t>
      </w:r>
      <w:r w:rsidRPr="003847DA">
        <w:rPr>
          <w:i/>
          <w:iCs/>
          <w:noProof/>
          <w:sz w:val="16"/>
          <w:szCs w:val="22"/>
        </w:rPr>
        <w:t>et al.</w:t>
      </w:r>
      <w:r w:rsidRPr="003847DA">
        <w:rPr>
          <w:noProof/>
          <w:sz w:val="16"/>
          <w:szCs w:val="22"/>
        </w:rPr>
        <w:t xml:space="preserve">, “Mining Twitter to Assess the Public Perception of the ‘Internet of Things,’” </w:t>
      </w:r>
      <w:r w:rsidRPr="003847DA">
        <w:rPr>
          <w:i/>
          <w:iCs/>
          <w:noProof/>
          <w:sz w:val="16"/>
          <w:szCs w:val="22"/>
        </w:rPr>
        <w:t>PLoS One</w:t>
      </w:r>
      <w:r w:rsidRPr="003847DA">
        <w:rPr>
          <w:noProof/>
          <w:sz w:val="16"/>
          <w:szCs w:val="22"/>
        </w:rPr>
        <w:t>, vol. 11, no. 7, 2016, doi: 10.1371/journal.pone.0158450.</w:t>
      </w:r>
    </w:p>
    <w:p w14:paraId="11050FC6"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[7]</w:t>
      </w:r>
      <w:r w:rsidRPr="003847DA">
        <w:rPr>
          <w:noProof/>
          <w:sz w:val="16"/>
          <w:szCs w:val="22"/>
        </w:rPr>
        <w:tab/>
        <w:t>R. Valter, S. Santiago, R. Ramos, M. Oliveira, L. O. M. Andrade, and I. C. de H. C. Barreto, “Data Mining and Risk Analysis Supporting Decision in Brazilian Public Health Systems,” 2019, doi: 10.1109/HealthCom46333.2019.9009439.</w:t>
      </w:r>
    </w:p>
    <w:p w14:paraId="0A3AEC69"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[8]</w:t>
      </w:r>
      <w:r w:rsidRPr="003847DA">
        <w:rPr>
          <w:noProof/>
          <w:sz w:val="16"/>
          <w:szCs w:val="22"/>
        </w:rPr>
        <w:tab/>
        <w:t xml:space="preserve">Y. Liu and H. Wu, “Water bloom warning model based on random forest,” in </w:t>
      </w:r>
      <w:r w:rsidRPr="003847DA">
        <w:rPr>
          <w:i/>
          <w:iCs/>
          <w:noProof/>
          <w:sz w:val="16"/>
          <w:szCs w:val="22"/>
        </w:rPr>
        <w:t>International Conference on Intelligent Informatics and Biomedical Sciences (ICIIBMS)</w:t>
      </w:r>
      <w:r w:rsidRPr="003847DA">
        <w:rPr>
          <w:noProof/>
          <w:sz w:val="16"/>
          <w:szCs w:val="22"/>
        </w:rPr>
        <w:t>, 2017, pp. 45–48, doi: 10.1109/ICIIBMS.2017.8279712.</w:t>
      </w:r>
    </w:p>
    <w:p w14:paraId="118C2495"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[9]</w:t>
      </w:r>
      <w:r w:rsidRPr="003847DA">
        <w:rPr>
          <w:noProof/>
          <w:sz w:val="16"/>
          <w:szCs w:val="22"/>
        </w:rPr>
        <w:tab/>
        <w:t xml:space="preserve">P. Deki, “Factors Affecting Early Childhood Growth and Development: Golden 1000 Days,” </w:t>
      </w:r>
      <w:r w:rsidRPr="003847DA">
        <w:rPr>
          <w:i/>
          <w:iCs/>
          <w:noProof/>
          <w:sz w:val="16"/>
          <w:szCs w:val="22"/>
        </w:rPr>
        <w:t>J. Adv. Pract. Nurs.</w:t>
      </w:r>
      <w:r w:rsidRPr="003847DA">
        <w:rPr>
          <w:noProof/>
          <w:sz w:val="16"/>
          <w:szCs w:val="22"/>
        </w:rPr>
        <w:t xml:space="preserve">, vol. 01, no. 01, </w:t>
      </w:r>
      <w:r w:rsidRPr="003847DA">
        <w:rPr>
          <w:noProof/>
          <w:sz w:val="16"/>
          <w:szCs w:val="22"/>
        </w:rPr>
        <w:lastRenderedPageBreak/>
        <w:t>pp. 1–4, 2016, doi: 10.4172/2573-0347.1000101.</w:t>
      </w:r>
    </w:p>
    <w:p w14:paraId="48641097"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[10]</w:t>
      </w:r>
      <w:r w:rsidRPr="003847DA">
        <w:rPr>
          <w:noProof/>
          <w:sz w:val="16"/>
          <w:szCs w:val="22"/>
        </w:rPr>
        <w:tab/>
        <w:t xml:space="preserve">C. Nwankwo, P. Ezenduka, E. Chiejina, and S. Igwilo, “Effect of maternal health education on the health attitude of pregnant motherss attending antenatal clinics in Anambraa State Nigeria,” </w:t>
      </w:r>
      <w:r w:rsidRPr="003847DA">
        <w:rPr>
          <w:i/>
          <w:iCs/>
          <w:noProof/>
          <w:sz w:val="16"/>
          <w:szCs w:val="22"/>
        </w:rPr>
        <w:t>J. Innov. Res. Sci. Eng. Technol.</w:t>
      </w:r>
      <w:r w:rsidRPr="003847DA">
        <w:rPr>
          <w:noProof/>
          <w:sz w:val="16"/>
          <w:szCs w:val="22"/>
        </w:rPr>
        <w:t>, vol. 5, no. 2, pp. 1914–1923, 2016, doi: 10.15680/IJIRSET.2016.0502136.</w:t>
      </w:r>
    </w:p>
    <w:p w14:paraId="41DD4DFE"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[11]</w:t>
      </w:r>
      <w:r w:rsidRPr="003847DA">
        <w:rPr>
          <w:noProof/>
          <w:sz w:val="16"/>
          <w:szCs w:val="22"/>
        </w:rPr>
        <w:tab/>
        <w:t xml:space="preserve">V. Mohan </w:t>
      </w:r>
      <w:r w:rsidRPr="003847DA">
        <w:rPr>
          <w:i/>
          <w:iCs/>
          <w:noProof/>
          <w:sz w:val="16"/>
          <w:szCs w:val="22"/>
        </w:rPr>
        <w:t>et al.</w:t>
      </w:r>
      <w:r w:rsidRPr="003847DA">
        <w:rPr>
          <w:noProof/>
          <w:sz w:val="16"/>
          <w:szCs w:val="22"/>
        </w:rPr>
        <w:t xml:space="preserve">, “Prevention of diabetes in rural India with a telemedicine intervention,” </w:t>
      </w:r>
      <w:r w:rsidRPr="003847DA">
        <w:rPr>
          <w:i/>
          <w:iCs/>
          <w:noProof/>
          <w:sz w:val="16"/>
          <w:szCs w:val="22"/>
        </w:rPr>
        <w:t>J. Diabetes Sci. Technol.</w:t>
      </w:r>
      <w:r w:rsidRPr="003847DA">
        <w:rPr>
          <w:noProof/>
          <w:sz w:val="16"/>
          <w:szCs w:val="22"/>
        </w:rPr>
        <w:t>, vol. 6, no. 6, pp. 1355–1364, 2012, doi: 10.1177/193229681200600614.</w:t>
      </w:r>
    </w:p>
    <w:p w14:paraId="6205DAA5"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[12]</w:t>
      </w:r>
      <w:r w:rsidRPr="003847DA">
        <w:rPr>
          <w:noProof/>
          <w:sz w:val="16"/>
          <w:szCs w:val="22"/>
        </w:rPr>
        <w:tab/>
        <w:t xml:space="preserve">V. V. Klimontov, N. V. Tyan, O. N. Fazullina, N. E. Myakina, A. P. Lykov, and V. I. Konenkov, “Clinical and metabolic factors associated with chronic low-grade inflammation in type 2 diabetic patients,” </w:t>
      </w:r>
      <w:r w:rsidRPr="003847DA">
        <w:rPr>
          <w:i/>
          <w:iCs/>
          <w:noProof/>
          <w:sz w:val="16"/>
          <w:szCs w:val="22"/>
        </w:rPr>
        <w:t>Diabetes Mellit.</w:t>
      </w:r>
      <w:r w:rsidRPr="003847DA">
        <w:rPr>
          <w:noProof/>
          <w:sz w:val="16"/>
          <w:szCs w:val="22"/>
        </w:rPr>
        <w:t>, vol. 19, no. 4, pp. 295–302, 2016, doi: 10.14341/DM7928.</w:t>
      </w:r>
    </w:p>
    <w:p w14:paraId="15A1CFD3"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[13]</w:t>
      </w:r>
      <w:r w:rsidRPr="003847DA">
        <w:rPr>
          <w:noProof/>
          <w:sz w:val="16"/>
          <w:szCs w:val="22"/>
        </w:rPr>
        <w:tab/>
        <w:t xml:space="preserve">M. Feng and S. Jia, “Dual effect of WISP-1 in diverse pathological processes,” </w:t>
      </w:r>
      <w:r w:rsidRPr="003847DA">
        <w:rPr>
          <w:i/>
          <w:iCs/>
          <w:noProof/>
          <w:sz w:val="16"/>
          <w:szCs w:val="22"/>
        </w:rPr>
        <w:t>Chinese J. Cancer Res.</w:t>
      </w:r>
      <w:r w:rsidRPr="003847DA">
        <w:rPr>
          <w:noProof/>
          <w:sz w:val="16"/>
          <w:szCs w:val="22"/>
        </w:rPr>
        <w:t>, vol. 28, no. 6, pp. 553–560, 2016, doi: 10.21147/j.issn.1000-9604.2016.06.01.</w:t>
      </w:r>
    </w:p>
    <w:p w14:paraId="7BAE89FF"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[14]</w:t>
      </w:r>
      <w:r w:rsidRPr="003847DA">
        <w:rPr>
          <w:noProof/>
          <w:sz w:val="16"/>
          <w:szCs w:val="22"/>
        </w:rPr>
        <w:tab/>
        <w:t xml:space="preserve">M. B. Hayes and W. Aspray, “Relational Agents for Chronic Disease Self-Management,” in </w:t>
      </w:r>
      <w:r w:rsidRPr="003847DA">
        <w:rPr>
          <w:i/>
          <w:iCs/>
          <w:noProof/>
          <w:sz w:val="16"/>
          <w:szCs w:val="22"/>
        </w:rPr>
        <w:t>Health Informatics: A Patient-Centered Approach to Diabetes</w:t>
      </w:r>
      <w:r w:rsidRPr="003847DA">
        <w:rPr>
          <w:noProof/>
          <w:sz w:val="16"/>
          <w:szCs w:val="22"/>
        </w:rPr>
        <w:t>, MIT Press Scholarship, 2010, pp. 181–204.</w:t>
      </w:r>
    </w:p>
    <w:p w14:paraId="71F0EC40"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[15]</w:t>
      </w:r>
      <w:r w:rsidRPr="003847DA">
        <w:rPr>
          <w:noProof/>
          <w:sz w:val="16"/>
          <w:szCs w:val="22"/>
        </w:rPr>
        <w:tab/>
        <w:t xml:space="preserve">I. Barchetta </w:t>
      </w:r>
      <w:r w:rsidRPr="003847DA">
        <w:rPr>
          <w:i/>
          <w:iCs/>
          <w:noProof/>
          <w:sz w:val="16"/>
          <w:szCs w:val="22"/>
        </w:rPr>
        <w:t>et al.</w:t>
      </w:r>
      <w:r w:rsidRPr="003847DA">
        <w:rPr>
          <w:noProof/>
          <w:sz w:val="16"/>
          <w:szCs w:val="22"/>
        </w:rPr>
        <w:t xml:space="preserve">, “WISP1 Is a Marker of Systemic and Adipose Tissue Inflammation in Dysmetabolic Subjects With or Without Type 2 Diabetes,” </w:t>
      </w:r>
      <w:r w:rsidRPr="003847DA">
        <w:rPr>
          <w:i/>
          <w:iCs/>
          <w:noProof/>
          <w:sz w:val="16"/>
          <w:szCs w:val="22"/>
        </w:rPr>
        <w:t>J. Endocr. Soc.</w:t>
      </w:r>
      <w:r w:rsidRPr="003847DA">
        <w:rPr>
          <w:noProof/>
          <w:sz w:val="16"/>
          <w:szCs w:val="22"/>
        </w:rPr>
        <w:t>, vol. 1, no. 6, pp. 660–670, 2017, doi: 10.1210/js.2017-00108.</w:t>
      </w:r>
    </w:p>
    <w:p w14:paraId="42A453C1"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[16]</w:t>
      </w:r>
      <w:r w:rsidRPr="003847DA">
        <w:rPr>
          <w:noProof/>
          <w:sz w:val="16"/>
          <w:szCs w:val="22"/>
        </w:rPr>
        <w:tab/>
        <w:t xml:space="preserve">K. Zarkogianni, M. Athanasiou, A. C. Thanopoulou, and K. S. Nikita, “Comparison of Machine Learning Approaches Toward Assessing the Risk of Developing Cardiovascular Disease as a Long-Term Diabetes Complication,” </w:t>
      </w:r>
      <w:r w:rsidRPr="003847DA">
        <w:rPr>
          <w:i/>
          <w:iCs/>
          <w:noProof/>
          <w:sz w:val="16"/>
          <w:szCs w:val="22"/>
        </w:rPr>
        <w:t>IEEE J. Biomed. Heal. Informatics</w:t>
      </w:r>
      <w:r w:rsidRPr="003847DA">
        <w:rPr>
          <w:noProof/>
          <w:sz w:val="16"/>
          <w:szCs w:val="22"/>
        </w:rPr>
        <w:t>, vol. 22, no. 5, 2018, doi: 10.1109/JBHI.2017.2765639.</w:t>
      </w:r>
    </w:p>
    <w:p w14:paraId="352DDA5F"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[17]</w:t>
      </w:r>
      <w:r w:rsidRPr="003847DA">
        <w:rPr>
          <w:noProof/>
          <w:sz w:val="16"/>
          <w:szCs w:val="22"/>
        </w:rPr>
        <w:tab/>
        <w:t xml:space="preserve">H. T. Nguyen, N. Ghevondian, and T. W. Jones, “Neural-Network Detection of Hypoglycemic Episodes in Children with Type 1 Diabetes using Physiological Parameters,” in </w:t>
      </w:r>
      <w:r w:rsidRPr="003847DA">
        <w:rPr>
          <w:i/>
          <w:iCs/>
          <w:noProof/>
          <w:sz w:val="16"/>
          <w:szCs w:val="22"/>
        </w:rPr>
        <w:t>2006 International Conference of the IEEE Engineering in Medicine and Biology Society</w:t>
      </w:r>
      <w:r w:rsidRPr="003847DA">
        <w:rPr>
          <w:noProof/>
          <w:sz w:val="16"/>
          <w:szCs w:val="22"/>
        </w:rPr>
        <w:t>, 2006, pp. 6053–6056, doi: 10.1109/IEMBS.2006.259482.</w:t>
      </w:r>
    </w:p>
    <w:p w14:paraId="3B1F3E63"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[18]</w:t>
      </w:r>
      <w:r w:rsidRPr="003847DA">
        <w:rPr>
          <w:noProof/>
          <w:sz w:val="16"/>
          <w:szCs w:val="22"/>
        </w:rPr>
        <w:tab/>
        <w:t xml:space="preserve">M. D. Breton, L. S. Farhy, J. K. Penberthy, and B. P. Kovatchev, “Bio-Behavioral Control, Glucose Variability, and Hypoglycemia-Associated Autonomic Failure in Type 1 Diabetes (T1DM),” in </w:t>
      </w:r>
      <w:r w:rsidRPr="003847DA">
        <w:rPr>
          <w:i/>
          <w:iCs/>
          <w:noProof/>
          <w:sz w:val="16"/>
          <w:szCs w:val="22"/>
        </w:rPr>
        <w:t>2006 International Conference of the IEEE Engineering in Medicine and Biology Society</w:t>
      </w:r>
      <w:r w:rsidRPr="003847DA">
        <w:rPr>
          <w:noProof/>
          <w:sz w:val="16"/>
          <w:szCs w:val="22"/>
        </w:rPr>
        <w:t>, 2006, pp. 315–318, doi: 10.1109/IEMBS.2006.260113.</w:t>
      </w:r>
    </w:p>
    <w:p w14:paraId="38A92791"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[19]</w:t>
      </w:r>
      <w:r w:rsidRPr="003847DA">
        <w:rPr>
          <w:noProof/>
          <w:sz w:val="16"/>
          <w:szCs w:val="22"/>
        </w:rPr>
        <w:tab/>
        <w:t xml:space="preserve">A. J. Rogers, J. M. Miller, R. Kannappan, and P. Sethu, “Cardiac Tissue Chips (CTCs) for Modeling Cardiovascular Disease,” </w:t>
      </w:r>
      <w:r w:rsidRPr="003847DA">
        <w:rPr>
          <w:i/>
          <w:iCs/>
          <w:noProof/>
          <w:sz w:val="16"/>
          <w:szCs w:val="22"/>
        </w:rPr>
        <w:t>IEEE Trans. Biomed. Eng.</w:t>
      </w:r>
      <w:r w:rsidRPr="003847DA">
        <w:rPr>
          <w:noProof/>
          <w:sz w:val="16"/>
          <w:szCs w:val="22"/>
        </w:rPr>
        <w:t>, vol. 66, no. 12, pp. 3436–3443, 2019, doi: 10.1109/TBME.2019.2905763.</w:t>
      </w:r>
    </w:p>
    <w:p w14:paraId="4C5FCA14"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[20]</w:t>
      </w:r>
      <w:r w:rsidRPr="003847DA">
        <w:rPr>
          <w:noProof/>
          <w:sz w:val="16"/>
          <w:szCs w:val="22"/>
        </w:rPr>
        <w:tab/>
        <w:t xml:space="preserve">M. F. Yahya and E. Supriyanto, “Physiological modeling of sound effect on neuro-cardiovascular system,” in </w:t>
      </w:r>
      <w:r w:rsidRPr="003847DA">
        <w:rPr>
          <w:i/>
          <w:iCs/>
          <w:noProof/>
          <w:sz w:val="16"/>
          <w:szCs w:val="22"/>
        </w:rPr>
        <w:t>2016 International Conference on Robotics, Automation and Sciences (ICORAS)</w:t>
      </w:r>
      <w:r w:rsidRPr="003847DA">
        <w:rPr>
          <w:noProof/>
          <w:sz w:val="16"/>
          <w:szCs w:val="22"/>
        </w:rPr>
        <w:t>, 2016, pp. 1–4, doi: 10.1109/ICORAS.2016.7872619.</w:t>
      </w:r>
    </w:p>
    <w:p w14:paraId="11D84A65"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[21]</w:t>
      </w:r>
      <w:r w:rsidRPr="003847DA">
        <w:rPr>
          <w:noProof/>
          <w:sz w:val="16"/>
          <w:szCs w:val="22"/>
        </w:rPr>
        <w:tab/>
        <w:t xml:space="preserve">R. M. Conroy, K. Pyorala, and A. P. Fitzgerald, “Estimation Of Ten-Year Risk Cardiovascular Disease In Europe: The SCORE Project,” </w:t>
      </w:r>
      <w:r w:rsidRPr="003847DA">
        <w:rPr>
          <w:i/>
          <w:iCs/>
          <w:noProof/>
          <w:sz w:val="16"/>
          <w:szCs w:val="22"/>
        </w:rPr>
        <w:t>Eur. Heart J.</w:t>
      </w:r>
      <w:r w:rsidRPr="003847DA">
        <w:rPr>
          <w:noProof/>
          <w:sz w:val="16"/>
          <w:szCs w:val="22"/>
        </w:rPr>
        <w:t>, vol. 24, pp. 987–1003, 2003, doi: 10.1016/S0195-668X(03)00114-3.</w:t>
      </w:r>
    </w:p>
    <w:p w14:paraId="31AAB219"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[22]</w:t>
      </w:r>
      <w:r w:rsidRPr="003847DA">
        <w:rPr>
          <w:noProof/>
          <w:sz w:val="16"/>
          <w:szCs w:val="22"/>
        </w:rPr>
        <w:tab/>
        <w:t xml:space="preserve">P. Pagliaro, C. Penna, and R. Rastaldo, “Basic Cardiovascular Physiology: From Molecules to Translational Medical Science,” in </w:t>
      </w:r>
      <w:r w:rsidRPr="003847DA">
        <w:rPr>
          <w:i/>
          <w:iCs/>
          <w:noProof/>
          <w:sz w:val="16"/>
          <w:szCs w:val="22"/>
        </w:rPr>
        <w:t>Basic Cardiovascular Physiology: From Molecules to Translational Medical Science</w:t>
      </w:r>
      <w:r w:rsidRPr="003847DA">
        <w:rPr>
          <w:noProof/>
          <w:sz w:val="16"/>
          <w:szCs w:val="22"/>
        </w:rPr>
        <w:t>, River Publishers, 2020, pp. 1–24.</w:t>
      </w:r>
    </w:p>
    <w:p w14:paraId="7C7F45C4"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[23]</w:t>
      </w:r>
      <w:r w:rsidRPr="003847DA">
        <w:rPr>
          <w:noProof/>
          <w:sz w:val="16"/>
          <w:szCs w:val="22"/>
        </w:rPr>
        <w:tab/>
        <w:t xml:space="preserve">R. Corti and V. Fuster, “Imaging of atherosclerosis: Magnetic resonance imaging,” </w:t>
      </w:r>
      <w:r w:rsidRPr="003847DA">
        <w:rPr>
          <w:i/>
          <w:iCs/>
          <w:noProof/>
          <w:sz w:val="16"/>
          <w:szCs w:val="22"/>
        </w:rPr>
        <w:t>Eur. Heart J.</w:t>
      </w:r>
      <w:r w:rsidRPr="003847DA">
        <w:rPr>
          <w:noProof/>
          <w:sz w:val="16"/>
          <w:szCs w:val="22"/>
        </w:rPr>
        <w:t>, vol. 32, no. 14, pp. 1709–1719, 2011, doi: 10.1093/eurheartj/ehr068.</w:t>
      </w:r>
    </w:p>
    <w:p w14:paraId="39A4647E" w14:textId="77777777" w:rsidR="00605D6F" w:rsidRPr="003847DA" w:rsidRDefault="00605D6F" w:rsidP="00605D6F">
      <w:pPr>
        <w:widowControl w:val="0"/>
        <w:autoSpaceDE w:val="0"/>
        <w:autoSpaceDN w:val="0"/>
        <w:adjustRightInd w:val="0"/>
        <w:ind w:left="426" w:hanging="426"/>
        <w:jc w:val="both"/>
        <w:rPr>
          <w:noProof/>
          <w:sz w:val="16"/>
          <w:szCs w:val="22"/>
        </w:rPr>
      </w:pPr>
      <w:r w:rsidRPr="003847DA">
        <w:rPr>
          <w:noProof/>
          <w:sz w:val="16"/>
          <w:szCs w:val="22"/>
        </w:rPr>
        <w:t>[24]</w:t>
      </w:r>
      <w:r w:rsidRPr="003847DA">
        <w:rPr>
          <w:noProof/>
          <w:sz w:val="16"/>
          <w:szCs w:val="22"/>
        </w:rPr>
        <w:tab/>
        <w:t xml:space="preserve">S. Achenbach, “Can CT detect the vulnerable coronary plaque?,” </w:t>
      </w:r>
      <w:r w:rsidRPr="003847DA">
        <w:rPr>
          <w:i/>
          <w:iCs/>
          <w:noProof/>
          <w:sz w:val="16"/>
          <w:szCs w:val="22"/>
        </w:rPr>
        <w:t>Int. J. Cardiovasc. Imaging</w:t>
      </w:r>
      <w:r w:rsidRPr="003847DA">
        <w:rPr>
          <w:noProof/>
          <w:sz w:val="16"/>
          <w:szCs w:val="22"/>
        </w:rPr>
        <w:t>, vol. 24, no. 3, pp. 311–312, 2008, doi: 10.1007/s10554-007-9281-1.</w:t>
      </w:r>
    </w:p>
    <w:p w14:paraId="72B00C03" w14:textId="77777777" w:rsidR="00605D6F" w:rsidRPr="003847DA" w:rsidRDefault="00605D6F" w:rsidP="00605D6F">
      <w:pPr>
        <w:widowControl w:val="0"/>
        <w:autoSpaceDE w:val="0"/>
        <w:autoSpaceDN w:val="0"/>
        <w:adjustRightInd w:val="0"/>
        <w:ind w:left="426" w:hanging="426"/>
        <w:jc w:val="both"/>
        <w:rPr>
          <w:noProof/>
          <w:sz w:val="16"/>
          <w:szCs w:val="18"/>
        </w:rPr>
      </w:pPr>
      <w:r w:rsidRPr="003847DA">
        <w:rPr>
          <w:noProof/>
          <w:sz w:val="16"/>
          <w:szCs w:val="22"/>
        </w:rPr>
        <w:t>[25]</w:t>
      </w:r>
      <w:r w:rsidRPr="003847DA">
        <w:rPr>
          <w:noProof/>
          <w:sz w:val="16"/>
          <w:szCs w:val="22"/>
        </w:rPr>
        <w:tab/>
        <w:t xml:space="preserve">E. Supriyanto, “The future of cardiovascular imaging,” </w:t>
      </w:r>
      <w:r w:rsidRPr="003847DA">
        <w:rPr>
          <w:i/>
          <w:iCs/>
          <w:noProof/>
          <w:sz w:val="16"/>
          <w:szCs w:val="22"/>
        </w:rPr>
        <w:t>2015 4th International Conference on Instrumentation, Communications, Information Technology, and Biomedical Engineering (ICICI-BME)</w:t>
      </w:r>
      <w:r w:rsidRPr="003847DA">
        <w:rPr>
          <w:noProof/>
          <w:sz w:val="16"/>
          <w:szCs w:val="22"/>
        </w:rPr>
        <w:t>, 2015, doi: 10.1109/ICICI-BME.2015.7401302.</w:t>
      </w:r>
    </w:p>
    <w:p w14:paraId="7D0EF40C" w14:textId="6AA22F4D" w:rsidR="00E619D6" w:rsidRPr="003847DA" w:rsidRDefault="00605D6F" w:rsidP="00605D6F">
      <w:pPr>
        <w:ind w:left="426" w:hanging="426"/>
        <w:jc w:val="both"/>
        <w:rPr>
          <w:noProof/>
        </w:rPr>
      </w:pPr>
      <w:r w:rsidRPr="003847DA">
        <w:rPr>
          <w:noProof/>
          <w:sz w:val="16"/>
          <w:szCs w:val="16"/>
        </w:rPr>
        <w:fldChar w:fldCharType="end"/>
      </w:r>
    </w:p>
    <w:p w14:paraId="46F83F26" w14:textId="2452F5B9" w:rsidR="00CE05C5" w:rsidRDefault="00CE05C5">
      <w:pPr>
        <w:rPr>
          <w:rStyle w:val="apple-style-span"/>
          <w:b/>
          <w:lang w:val="pt-BR"/>
        </w:rPr>
      </w:pPr>
    </w:p>
    <w:p w14:paraId="3A8D4720" w14:textId="7A0579DE" w:rsidR="00942626" w:rsidRDefault="00942626" w:rsidP="00942626">
      <w:pPr>
        <w:rPr>
          <w:b/>
          <w:bCs/>
        </w:rPr>
      </w:pPr>
      <w:r w:rsidRPr="003847DA">
        <w:rPr>
          <w:rStyle w:val="apple-style-span"/>
          <w:b/>
          <w:lang w:val="pt-BR"/>
        </w:rPr>
        <w:t xml:space="preserve">BIOGRAPHIES OF AUTHORS </w:t>
      </w:r>
      <w:r w:rsidRPr="003847DA">
        <w:rPr>
          <w:b/>
          <w:bCs/>
        </w:rPr>
        <w:t>(10 PT)</w:t>
      </w:r>
    </w:p>
    <w:p w14:paraId="3F213E0C" w14:textId="77777777" w:rsidR="00561BCA" w:rsidRPr="003847DA" w:rsidRDefault="00561BCA" w:rsidP="00942626">
      <w:pPr>
        <w:rPr>
          <w:b/>
          <w:bCs/>
        </w:rPr>
      </w:pPr>
    </w:p>
    <w:p w14:paraId="58EE77E1" w14:textId="77777777" w:rsidR="00942626" w:rsidRPr="003847DA" w:rsidRDefault="00942626" w:rsidP="00942626">
      <w:pPr>
        <w:rPr>
          <w:b/>
          <w:bCs/>
        </w:rPr>
      </w:pPr>
      <w:r w:rsidRPr="003847DA">
        <w:rPr>
          <w:b/>
          <w:bCs/>
        </w:rPr>
        <w:t>The recommended number of authors is at least 2. One of them as a corresponding author.</w:t>
      </w:r>
    </w:p>
    <w:p w14:paraId="4F79EA19" w14:textId="77777777" w:rsidR="00942626" w:rsidRPr="003847DA" w:rsidRDefault="00942626" w:rsidP="00942626">
      <w:pPr>
        <w:rPr>
          <w:i/>
          <w:iCs/>
        </w:rPr>
      </w:pPr>
      <w:r w:rsidRPr="003847DA">
        <w:rPr>
          <w:i/>
          <w:iCs/>
        </w:rPr>
        <w:t>Please attach clear photo (3x4 cm) and vita. Example of biographies of authors:</w:t>
      </w:r>
    </w:p>
    <w:p w14:paraId="674A69FF" w14:textId="77777777" w:rsidR="00942626" w:rsidRPr="003847DA" w:rsidRDefault="00942626" w:rsidP="00942626">
      <w:pPr>
        <w:ind w:left="426" w:hanging="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7077"/>
      </w:tblGrid>
      <w:tr w:rsidR="003847DA" w:rsidRPr="003847DA" w14:paraId="71560328" w14:textId="77777777" w:rsidTr="00A62061">
        <w:tc>
          <w:tcPr>
            <w:tcW w:w="1070" w:type="pct"/>
            <w:tcBorders>
              <w:top w:val="single" w:sz="4" w:space="0" w:color="auto"/>
              <w:left w:val="single" w:sz="4" w:space="0" w:color="auto"/>
              <w:bottom w:val="single" w:sz="4" w:space="0" w:color="auto"/>
              <w:right w:val="single" w:sz="4" w:space="0" w:color="auto"/>
            </w:tcBorders>
          </w:tcPr>
          <w:p w14:paraId="2CD14A62" w14:textId="399765ED" w:rsidR="00942626" w:rsidRPr="003847DA" w:rsidRDefault="003847DA" w:rsidP="00942626">
            <w:pPr>
              <w:jc w:val="center"/>
              <w:rPr>
                <w:sz w:val="18"/>
                <w:szCs w:val="18"/>
                <w:lang w:val="pt-BR"/>
              </w:rPr>
            </w:pPr>
            <w:r w:rsidRPr="003847DA">
              <w:rPr>
                <w:noProof/>
              </w:rPr>
              <w:drawing>
                <wp:inline distT="0" distB="0" distL="0" distR="0" wp14:anchorId="002E18D5" wp14:editId="5DECCB41">
                  <wp:extent cx="1080000" cy="1439333"/>
                  <wp:effectExtent l="0" t="0" r="6350" b="889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srcRect l="15883"/>
                          <a:stretch/>
                        </pic:blipFill>
                        <pic:spPr bwMode="auto">
                          <a:xfrm>
                            <a:off x="0" y="0"/>
                            <a:ext cx="1080000" cy="1439333"/>
                          </a:xfrm>
                          <a:prstGeom prst="rect">
                            <a:avLst/>
                          </a:prstGeom>
                          <a:ln>
                            <a:noFill/>
                          </a:ln>
                          <a:extLst>
                            <a:ext uri="{53640926-AAD7-44D8-BBD7-CCE9431645EC}">
                              <a14:shadowObscured xmlns:a14="http://schemas.microsoft.com/office/drawing/2010/main"/>
                            </a:ext>
                          </a:extLst>
                        </pic:spPr>
                      </pic:pic>
                    </a:graphicData>
                  </a:graphic>
                </wp:inline>
              </w:drawing>
            </w:r>
          </w:p>
        </w:tc>
        <w:tc>
          <w:tcPr>
            <w:tcW w:w="3930" w:type="pct"/>
            <w:tcBorders>
              <w:top w:val="single" w:sz="4" w:space="0" w:color="auto"/>
              <w:left w:val="single" w:sz="4" w:space="0" w:color="auto"/>
              <w:bottom w:val="single" w:sz="4" w:space="0" w:color="auto"/>
              <w:right w:val="single" w:sz="4" w:space="0" w:color="auto"/>
            </w:tcBorders>
          </w:tcPr>
          <w:p w14:paraId="741F56E8" w14:textId="0247ED19" w:rsidR="00942626" w:rsidRPr="003847DA" w:rsidRDefault="003847DA" w:rsidP="00246A21">
            <w:pPr>
              <w:spacing w:before="100" w:beforeAutospacing="1" w:after="100" w:afterAutospacing="1"/>
              <w:jc w:val="both"/>
              <w:outlineLvl w:val="0"/>
              <w:rPr>
                <w:b/>
                <w:bCs/>
                <w:kern w:val="36"/>
                <w:sz w:val="18"/>
                <w:szCs w:val="18"/>
                <w:lang w:val="en-AU" w:eastAsia="en-AU"/>
              </w:rPr>
            </w:pPr>
            <w:r w:rsidRPr="003847DA">
              <w:rPr>
                <w:b/>
                <w:bCs/>
                <w:sz w:val="18"/>
                <w:szCs w:val="18"/>
              </w:rPr>
              <w:t>Yu-Tzu Wu</w:t>
            </w:r>
            <w:r w:rsidRPr="003847DA">
              <w:rPr>
                <w:sz w:val="16"/>
                <w:szCs w:val="16"/>
              </w:rPr>
              <w:t xml:space="preserve"> </w:t>
            </w:r>
            <w:r w:rsidRPr="003847DA">
              <w:rPr>
                <w:noProof/>
                <w:sz w:val="18"/>
                <w:szCs w:val="18"/>
              </w:rPr>
              <w:drawing>
                <wp:inline distT="0" distB="0" distL="0" distR="0" wp14:anchorId="33B3FE41" wp14:editId="1B2DC57A">
                  <wp:extent cx="114935" cy="114935"/>
                  <wp:effectExtent l="0" t="0" r="0" b="0"/>
                  <wp:docPr id="19" name="Picture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rPr>
              <w:drawing>
                <wp:inline distT="0" distB="0" distL="0" distR="0" wp14:anchorId="45FDA632" wp14:editId="2EDDB3F1">
                  <wp:extent cx="114935" cy="114935"/>
                  <wp:effectExtent l="0" t="0" r="0" b="0"/>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rPr>
              <w:drawing>
                <wp:inline distT="0" distB="0" distL="0" distR="0" wp14:anchorId="0A4CEDFC" wp14:editId="44529053">
                  <wp:extent cx="114935" cy="114935"/>
                  <wp:effectExtent l="0" t="0" r="0" b="0"/>
                  <wp:docPr id="17" name="Graphic 17">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7" name="Graphic 17">
                            <a:hlinkClick r:id="rId19"/>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rPr>
              <w:drawing>
                <wp:inline distT="0" distB="0" distL="0" distR="0" wp14:anchorId="2E778756" wp14:editId="3A8FB726">
                  <wp:extent cx="114935" cy="114935"/>
                  <wp:effectExtent l="0" t="0" r="0" b="0"/>
                  <wp:docPr id="16" name="Picture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rFonts w:ascii="Open Sans" w:hAnsi="Open Sans" w:cs="Open Sans"/>
                <w:sz w:val="21"/>
                <w:szCs w:val="21"/>
                <w:shd w:val="clear" w:color="auto" w:fill="FFFFFF"/>
              </w:rPr>
              <w:t xml:space="preserve"> </w:t>
            </w:r>
            <w:r w:rsidRPr="003847DA">
              <w:rPr>
                <w:sz w:val="18"/>
                <w:szCs w:val="18"/>
                <w:shd w:val="clear" w:color="auto" w:fill="FFFFFF"/>
              </w:rPr>
              <w:t xml:space="preserve">is an epidemiologist/statistician working on the Improving the Experience of Dementia and Enhancing Active Life (IDEAL) project, a longitudinal cohort focusing on quality of life and wellbeing in people with dementia and their </w:t>
            </w:r>
            <w:proofErr w:type="spellStart"/>
            <w:r w:rsidRPr="003847DA">
              <w:rPr>
                <w:sz w:val="18"/>
                <w:szCs w:val="18"/>
                <w:shd w:val="clear" w:color="auto" w:fill="FFFFFF"/>
              </w:rPr>
              <w:t>carers</w:t>
            </w:r>
            <w:proofErr w:type="spellEnd"/>
            <w:r w:rsidRPr="003847DA">
              <w:rPr>
                <w:sz w:val="18"/>
                <w:szCs w:val="18"/>
                <w:shd w:val="clear" w:color="auto" w:fill="FFFFFF"/>
              </w:rPr>
              <w:t> across the U</w:t>
            </w:r>
            <w:r w:rsidR="005C0E61">
              <w:rPr>
                <w:sz w:val="18"/>
                <w:szCs w:val="18"/>
                <w:shd w:val="clear" w:color="auto" w:fill="FFFFFF"/>
              </w:rPr>
              <w:t xml:space="preserve">nited </w:t>
            </w:r>
            <w:r w:rsidRPr="003847DA">
              <w:rPr>
                <w:sz w:val="18"/>
                <w:szCs w:val="18"/>
                <w:shd w:val="clear" w:color="auto" w:fill="FFFFFF"/>
              </w:rPr>
              <w:t>K</w:t>
            </w:r>
            <w:r w:rsidR="005C0E61">
              <w:rPr>
                <w:sz w:val="18"/>
                <w:szCs w:val="18"/>
                <w:shd w:val="clear" w:color="auto" w:fill="FFFFFF"/>
              </w:rPr>
              <w:t>ingdom</w:t>
            </w:r>
            <w:r w:rsidRPr="003847DA">
              <w:rPr>
                <w:sz w:val="18"/>
                <w:szCs w:val="18"/>
                <w:shd w:val="clear" w:color="auto" w:fill="FFFFFF"/>
              </w:rPr>
              <w:t>. I am interested in exploring environmental determinants of health and wellbeing in later life. H</w:t>
            </w:r>
            <w:r w:rsidRPr="003847DA">
              <w:rPr>
                <w:sz w:val="18"/>
                <w:szCs w:val="18"/>
              </w:rPr>
              <w:t xml:space="preserve">e can be contacted at email: </w:t>
            </w:r>
            <w:r w:rsidR="00D238C2">
              <w:rPr>
                <w:sz w:val="18"/>
                <w:szCs w:val="18"/>
              </w:rPr>
              <w:t>Y.Wu3@exeter.ac.uk</w:t>
            </w:r>
            <w:r w:rsidRPr="003847DA">
              <w:rPr>
                <w:sz w:val="18"/>
                <w:szCs w:val="18"/>
              </w:rPr>
              <w:t>.</w:t>
            </w:r>
          </w:p>
        </w:tc>
      </w:tr>
      <w:tr w:rsidR="003847DA" w:rsidRPr="003847DA" w14:paraId="38B1D9B8" w14:textId="77777777" w:rsidTr="00A62061">
        <w:tc>
          <w:tcPr>
            <w:tcW w:w="1070" w:type="pct"/>
            <w:tcBorders>
              <w:top w:val="single" w:sz="4" w:space="0" w:color="auto"/>
              <w:left w:val="single" w:sz="4" w:space="0" w:color="auto"/>
              <w:bottom w:val="single" w:sz="4" w:space="0" w:color="auto"/>
              <w:right w:val="single" w:sz="4" w:space="0" w:color="auto"/>
            </w:tcBorders>
          </w:tcPr>
          <w:p w14:paraId="0BC3FF8F" w14:textId="77777777" w:rsidR="00942626" w:rsidRPr="003847DA" w:rsidRDefault="00942626" w:rsidP="00246A21">
            <w:pPr>
              <w:rPr>
                <w:lang w:val="pt-BR"/>
              </w:rPr>
            </w:pPr>
          </w:p>
        </w:tc>
        <w:tc>
          <w:tcPr>
            <w:tcW w:w="3930" w:type="pct"/>
            <w:tcBorders>
              <w:top w:val="single" w:sz="4" w:space="0" w:color="auto"/>
              <w:left w:val="single" w:sz="4" w:space="0" w:color="auto"/>
              <w:bottom w:val="single" w:sz="4" w:space="0" w:color="auto"/>
              <w:right w:val="single" w:sz="4" w:space="0" w:color="auto"/>
            </w:tcBorders>
          </w:tcPr>
          <w:p w14:paraId="792FC552" w14:textId="77777777" w:rsidR="00942626" w:rsidRPr="003847DA" w:rsidRDefault="00942626" w:rsidP="00246A21">
            <w:pPr>
              <w:jc w:val="both"/>
              <w:rPr>
                <w:sz w:val="18"/>
                <w:szCs w:val="18"/>
              </w:rPr>
            </w:pPr>
          </w:p>
        </w:tc>
      </w:tr>
      <w:tr w:rsidR="003847DA" w:rsidRPr="003847DA" w14:paraId="709272E5" w14:textId="77777777" w:rsidTr="00A62061">
        <w:tc>
          <w:tcPr>
            <w:tcW w:w="1070" w:type="pct"/>
            <w:tcBorders>
              <w:top w:val="single" w:sz="4" w:space="0" w:color="auto"/>
              <w:left w:val="single" w:sz="4" w:space="0" w:color="auto"/>
              <w:bottom w:val="single" w:sz="4" w:space="0" w:color="auto"/>
              <w:right w:val="single" w:sz="4" w:space="0" w:color="auto"/>
            </w:tcBorders>
            <w:vAlign w:val="center"/>
          </w:tcPr>
          <w:p w14:paraId="19FA364C" w14:textId="77777777" w:rsidR="00942626" w:rsidRPr="003847DA" w:rsidRDefault="00942626" w:rsidP="00246A21">
            <w:pPr>
              <w:jc w:val="center"/>
              <w:rPr>
                <w:sz w:val="18"/>
                <w:szCs w:val="18"/>
                <w:lang w:val="pt-BR"/>
              </w:rPr>
            </w:pPr>
            <w:r w:rsidRPr="003847DA">
              <w:rPr>
                <w:noProof/>
              </w:rPr>
              <w:drawing>
                <wp:inline distT="0" distB="0" distL="0" distR="0" wp14:anchorId="1733729C" wp14:editId="638C9DB0">
                  <wp:extent cx="1079500" cy="1440000"/>
                  <wp:effectExtent l="0" t="0" r="6350" b="825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24"/>
                          <a:srcRect l="9781" t="2999" r="13731"/>
                          <a:stretch/>
                        </pic:blipFill>
                        <pic:spPr bwMode="auto">
                          <a:xfrm>
                            <a:off x="0" y="0"/>
                            <a:ext cx="10795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30" w:type="pct"/>
            <w:tcBorders>
              <w:top w:val="single" w:sz="4" w:space="0" w:color="auto"/>
              <w:left w:val="single" w:sz="4" w:space="0" w:color="auto"/>
              <w:bottom w:val="single" w:sz="4" w:space="0" w:color="auto"/>
              <w:right w:val="single" w:sz="4" w:space="0" w:color="auto"/>
            </w:tcBorders>
          </w:tcPr>
          <w:p w14:paraId="2F01BBE8" w14:textId="77777777" w:rsidR="00942626" w:rsidRPr="003847DA" w:rsidRDefault="00942626" w:rsidP="00246A21">
            <w:pPr>
              <w:pStyle w:val="intro"/>
              <w:jc w:val="both"/>
              <w:rPr>
                <w:sz w:val="18"/>
                <w:szCs w:val="18"/>
              </w:rPr>
            </w:pPr>
            <w:r w:rsidRPr="003847DA">
              <w:rPr>
                <w:b/>
                <w:sz w:val="18"/>
                <w:szCs w:val="18"/>
              </w:rPr>
              <w:t xml:space="preserve">David </w:t>
            </w:r>
            <w:proofErr w:type="spellStart"/>
            <w:r w:rsidRPr="003847DA">
              <w:rPr>
                <w:b/>
                <w:sz w:val="18"/>
                <w:szCs w:val="18"/>
              </w:rPr>
              <w:t>Stuckler</w:t>
            </w:r>
            <w:proofErr w:type="spellEnd"/>
            <w:r w:rsidRPr="003847DA">
              <w:rPr>
                <w:sz w:val="18"/>
                <w:szCs w:val="18"/>
              </w:rPr>
              <w:t xml:space="preserve"> </w:t>
            </w:r>
            <w:r w:rsidRPr="003847DA">
              <w:rPr>
                <w:noProof/>
                <w:sz w:val="18"/>
                <w:szCs w:val="18"/>
                <w:lang w:val="en-US" w:eastAsia="en-US"/>
              </w:rPr>
              <w:drawing>
                <wp:inline distT="0" distB="0" distL="0" distR="0" wp14:anchorId="1585C905" wp14:editId="487D7944">
                  <wp:extent cx="114935" cy="114935"/>
                  <wp:effectExtent l="0" t="0" r="0"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US" w:eastAsia="en-US"/>
              </w:rPr>
              <w:drawing>
                <wp:inline distT="0" distB="0" distL="0" distR="0" wp14:anchorId="10A2053D" wp14:editId="32AFBF57">
                  <wp:extent cx="114935" cy="114935"/>
                  <wp:effectExtent l="0" t="0" r="0" b="0"/>
                  <wp:docPr id="12" name="Pictur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w:t>
            </w:r>
            <w:r w:rsidRPr="003847DA">
              <w:rPr>
                <w:noProof/>
                <w:sz w:val="18"/>
                <w:szCs w:val="18"/>
                <w:lang w:val="en-US" w:eastAsia="en-US"/>
              </w:rPr>
              <w:drawing>
                <wp:inline distT="0" distB="0" distL="0" distR="0" wp14:anchorId="1B4C3FB4" wp14:editId="5734A0B9">
                  <wp:extent cx="114935" cy="114935"/>
                  <wp:effectExtent l="0" t="0" r="0" b="0"/>
                  <wp:docPr id="22" name="Graphic 22">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4935" cy="114935"/>
                          </a:xfrm>
                          <a:prstGeom prst="rect">
                            <a:avLst/>
                          </a:prstGeom>
                        </pic:spPr>
                      </pic:pic>
                    </a:graphicData>
                  </a:graphic>
                </wp:inline>
              </w:drawing>
            </w:r>
            <w:r w:rsidRPr="003847DA">
              <w:rPr>
                <w:sz w:val="18"/>
                <w:szCs w:val="18"/>
              </w:rPr>
              <w:t xml:space="preserve"> </w:t>
            </w:r>
            <w:r w:rsidRPr="003847DA">
              <w:rPr>
                <w:noProof/>
                <w:sz w:val="18"/>
                <w:szCs w:val="18"/>
                <w:lang w:val="en-US" w:eastAsia="en-US"/>
              </w:rPr>
              <w:drawing>
                <wp:inline distT="0" distB="0" distL="0" distR="0" wp14:anchorId="1906CC3A" wp14:editId="34D57994">
                  <wp:extent cx="114935" cy="114935"/>
                  <wp:effectExtent l="0" t="0" r="0" b="0"/>
                  <wp:docPr id="13" name="Picture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is a Full Professor of Policy Analysis and Public Management at Bocconi University in Milan and an Intellectual Forum Senior Research Associate at Jesus College, Cambridge. Before, he has been a Professor of Political Economy and Sociology and a Senior Research Leader at Oxford University. He has published over one hundred peer-reviewed scientific articles in major journals on the subjects of economics and global health, and his work has featured on the cover of </w:t>
            </w:r>
            <w:r w:rsidRPr="003847DA">
              <w:rPr>
                <w:rStyle w:val="Emphasis"/>
                <w:i w:val="0"/>
                <w:sz w:val="18"/>
                <w:szCs w:val="18"/>
              </w:rPr>
              <w:t>The New York Times</w:t>
            </w:r>
            <w:r w:rsidRPr="003847DA">
              <w:rPr>
                <w:i/>
                <w:sz w:val="18"/>
                <w:szCs w:val="18"/>
              </w:rPr>
              <w:t> </w:t>
            </w:r>
            <w:r w:rsidRPr="003847DA">
              <w:rPr>
                <w:sz w:val="18"/>
                <w:szCs w:val="18"/>
              </w:rPr>
              <w:t>and </w:t>
            </w:r>
            <w:r w:rsidRPr="003847DA">
              <w:rPr>
                <w:rStyle w:val="Emphasis"/>
                <w:i w:val="0"/>
                <w:sz w:val="18"/>
                <w:szCs w:val="18"/>
              </w:rPr>
              <w:t>The Economist</w:t>
            </w:r>
            <w:r w:rsidRPr="003847DA">
              <w:rPr>
                <w:i/>
                <w:sz w:val="18"/>
                <w:szCs w:val="18"/>
              </w:rPr>
              <w:t>,</w:t>
            </w:r>
            <w:r w:rsidRPr="003847DA">
              <w:rPr>
                <w:sz w:val="18"/>
                <w:szCs w:val="18"/>
              </w:rPr>
              <w:t xml:space="preserve"> as well as on BBC, NPR, and CNN, among others. He has written the books </w:t>
            </w:r>
            <w:r w:rsidRPr="003847DA">
              <w:rPr>
                <w:rStyle w:val="Emphasis"/>
                <w:i w:val="0"/>
                <w:sz w:val="18"/>
                <w:szCs w:val="18"/>
              </w:rPr>
              <w:t>The Body Economic</w:t>
            </w:r>
            <w:r w:rsidRPr="003847DA">
              <w:rPr>
                <w:sz w:val="18"/>
                <w:szCs w:val="18"/>
              </w:rPr>
              <w:t xml:space="preserve"> and </w:t>
            </w:r>
            <w:r w:rsidRPr="003847DA">
              <w:rPr>
                <w:rStyle w:val="Emphasis"/>
                <w:i w:val="0"/>
                <w:sz w:val="18"/>
                <w:szCs w:val="18"/>
              </w:rPr>
              <w:t>Sick Societies</w:t>
            </w:r>
            <w:r w:rsidRPr="003847DA">
              <w:rPr>
                <w:i/>
                <w:sz w:val="18"/>
                <w:szCs w:val="18"/>
              </w:rPr>
              <w:t>.</w:t>
            </w:r>
            <w:r w:rsidRPr="003847DA">
              <w:rPr>
                <w:sz w:val="18"/>
                <w:szCs w:val="18"/>
              </w:rPr>
              <w:t xml:space="preserve"> He can be contacted at email: david.stuckler@unibocconi.it.</w:t>
            </w:r>
          </w:p>
        </w:tc>
      </w:tr>
      <w:tr w:rsidR="003847DA" w:rsidRPr="003847DA" w14:paraId="49818E3D" w14:textId="77777777" w:rsidTr="00A62061">
        <w:tc>
          <w:tcPr>
            <w:tcW w:w="1070" w:type="pct"/>
            <w:tcBorders>
              <w:top w:val="single" w:sz="4" w:space="0" w:color="auto"/>
              <w:left w:val="single" w:sz="4" w:space="0" w:color="auto"/>
              <w:bottom w:val="single" w:sz="4" w:space="0" w:color="auto"/>
              <w:right w:val="single" w:sz="4" w:space="0" w:color="auto"/>
            </w:tcBorders>
            <w:vAlign w:val="center"/>
          </w:tcPr>
          <w:p w14:paraId="3D4E9D33" w14:textId="77777777" w:rsidR="00942626" w:rsidRPr="003847DA" w:rsidRDefault="00942626" w:rsidP="00246A21">
            <w:pPr>
              <w:jc w:val="center"/>
              <w:rPr>
                <w:noProof/>
              </w:rPr>
            </w:pPr>
          </w:p>
        </w:tc>
        <w:tc>
          <w:tcPr>
            <w:tcW w:w="3930" w:type="pct"/>
            <w:tcBorders>
              <w:top w:val="single" w:sz="4" w:space="0" w:color="auto"/>
              <w:left w:val="single" w:sz="4" w:space="0" w:color="auto"/>
              <w:bottom w:val="single" w:sz="4" w:space="0" w:color="auto"/>
              <w:right w:val="single" w:sz="4" w:space="0" w:color="auto"/>
            </w:tcBorders>
          </w:tcPr>
          <w:p w14:paraId="0BF1777C" w14:textId="77777777" w:rsidR="00942626" w:rsidRPr="003847DA" w:rsidRDefault="00942626" w:rsidP="00246A21">
            <w:pPr>
              <w:jc w:val="both"/>
              <w:rPr>
                <w:b/>
                <w:bCs/>
                <w:sz w:val="18"/>
                <w:szCs w:val="18"/>
              </w:rPr>
            </w:pPr>
          </w:p>
        </w:tc>
      </w:tr>
      <w:tr w:rsidR="003847DA" w:rsidRPr="003847DA" w14:paraId="7B884A36" w14:textId="77777777" w:rsidTr="00A62061">
        <w:tc>
          <w:tcPr>
            <w:tcW w:w="1070" w:type="pct"/>
            <w:tcBorders>
              <w:top w:val="single" w:sz="4" w:space="0" w:color="auto"/>
              <w:left w:val="single" w:sz="4" w:space="0" w:color="auto"/>
              <w:bottom w:val="single" w:sz="4" w:space="0" w:color="auto"/>
              <w:right w:val="single" w:sz="4" w:space="0" w:color="auto"/>
            </w:tcBorders>
          </w:tcPr>
          <w:p w14:paraId="0A3A8ADD" w14:textId="10ABB711" w:rsidR="00942626" w:rsidRPr="003847DA" w:rsidRDefault="003847DA" w:rsidP="00942626">
            <w:pPr>
              <w:jc w:val="center"/>
              <w:rPr>
                <w:noProof/>
              </w:rPr>
            </w:pPr>
            <w:r w:rsidRPr="003847DA">
              <w:rPr>
                <w:noProof/>
              </w:rPr>
              <w:lastRenderedPageBreak/>
              <w:drawing>
                <wp:inline distT="0" distB="0" distL="0" distR="0" wp14:anchorId="269AB3AF" wp14:editId="06DCD857">
                  <wp:extent cx="1080000" cy="1440000"/>
                  <wp:effectExtent l="0" t="0" r="6350" b="825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29"/>
                          <a:srcRect l="12103" t="4396" r="10217" b="4396"/>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30" w:type="pct"/>
            <w:tcBorders>
              <w:top w:val="single" w:sz="4" w:space="0" w:color="auto"/>
              <w:left w:val="single" w:sz="4" w:space="0" w:color="auto"/>
              <w:bottom w:val="single" w:sz="4" w:space="0" w:color="auto"/>
              <w:right w:val="single" w:sz="4" w:space="0" w:color="auto"/>
            </w:tcBorders>
          </w:tcPr>
          <w:p w14:paraId="02EDE574" w14:textId="4291D8DA" w:rsidR="00942626" w:rsidRPr="003847DA" w:rsidRDefault="003847DA" w:rsidP="00246A21">
            <w:pPr>
              <w:jc w:val="both"/>
              <w:rPr>
                <w:sz w:val="18"/>
                <w:szCs w:val="18"/>
              </w:rPr>
            </w:pPr>
            <w:r w:rsidRPr="003847DA">
              <w:rPr>
                <w:b/>
                <w:bCs/>
                <w:sz w:val="18"/>
                <w:szCs w:val="18"/>
              </w:rPr>
              <w:t xml:space="preserve">Gaetano Isola </w:t>
            </w:r>
            <w:r w:rsidRPr="003847DA">
              <w:rPr>
                <w:b/>
                <w:bCs/>
                <w:noProof/>
                <w:sz w:val="18"/>
                <w:szCs w:val="18"/>
              </w:rPr>
              <w:drawing>
                <wp:inline distT="0" distB="0" distL="0" distR="0" wp14:anchorId="6E700CEB" wp14:editId="5BAC8EED">
                  <wp:extent cx="114300" cy="114300"/>
                  <wp:effectExtent l="0" t="0" r="0" b="0"/>
                  <wp:docPr id="28" name="Picture 2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847DA">
              <w:rPr>
                <w:b/>
                <w:bCs/>
                <w:sz w:val="18"/>
                <w:szCs w:val="18"/>
              </w:rPr>
              <w:t xml:space="preserve"> </w:t>
            </w:r>
            <w:r w:rsidRPr="003847DA">
              <w:rPr>
                <w:b/>
                <w:bCs/>
                <w:noProof/>
                <w:sz w:val="18"/>
                <w:szCs w:val="18"/>
              </w:rPr>
              <w:drawing>
                <wp:inline distT="0" distB="0" distL="0" distR="0" wp14:anchorId="05F4082C" wp14:editId="7DEA2CF0">
                  <wp:extent cx="114300" cy="114300"/>
                  <wp:effectExtent l="0" t="0" r="0" b="0"/>
                  <wp:docPr id="27" name="Picture 2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3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847DA">
              <w:rPr>
                <w:b/>
                <w:bCs/>
                <w:sz w:val="18"/>
                <w:szCs w:val="18"/>
              </w:rPr>
              <w:t xml:space="preserve"> </w:t>
            </w:r>
            <w:r w:rsidRPr="003847DA">
              <w:rPr>
                <w:b/>
                <w:bCs/>
                <w:noProof/>
                <w:sz w:val="18"/>
                <w:szCs w:val="18"/>
              </w:rPr>
              <w:drawing>
                <wp:inline distT="0" distB="0" distL="0" distR="0" wp14:anchorId="1BCAF2CB" wp14:editId="53D1161C">
                  <wp:extent cx="114300" cy="114300"/>
                  <wp:effectExtent l="0" t="0" r="0" b="0"/>
                  <wp:docPr id="26" name="Picture 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32"/>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847DA">
              <w:rPr>
                <w:b/>
                <w:bCs/>
                <w:sz w:val="18"/>
                <w:szCs w:val="18"/>
              </w:rPr>
              <w:t xml:space="preserve"> </w:t>
            </w:r>
            <w:r w:rsidRPr="003847DA">
              <w:rPr>
                <w:noProof/>
                <w:sz w:val="18"/>
                <w:szCs w:val="18"/>
              </w:rPr>
              <w:drawing>
                <wp:inline distT="0" distB="0" distL="0" distR="0" wp14:anchorId="174A0B23" wp14:editId="0E9A04D3">
                  <wp:extent cx="114935" cy="114935"/>
                  <wp:effectExtent l="0" t="0" r="0" b="0"/>
                  <wp:docPr id="29" name="Picture 29">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29" name="Picture 29">
                            <a:hlinkClick r:id="rId33"/>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847DA">
              <w:rPr>
                <w:sz w:val="18"/>
                <w:szCs w:val="18"/>
              </w:rPr>
              <w:t xml:space="preserve"> is a</w:t>
            </w:r>
            <w:r w:rsidRPr="003847DA">
              <w:rPr>
                <w:sz w:val="18"/>
                <w:szCs w:val="18"/>
                <w:shd w:val="clear" w:color="auto" w:fill="FFFFFF"/>
              </w:rPr>
              <w:t xml:space="preserve"> Researcher Assistant of Clinical </w:t>
            </w:r>
            <w:proofErr w:type="spellStart"/>
            <w:r w:rsidRPr="003847DA">
              <w:rPr>
                <w:sz w:val="18"/>
                <w:szCs w:val="18"/>
                <w:shd w:val="clear" w:color="auto" w:fill="FFFFFF"/>
              </w:rPr>
              <w:t>Odontostomatology</w:t>
            </w:r>
            <w:proofErr w:type="spellEnd"/>
            <w:r w:rsidRPr="003847DA">
              <w:rPr>
                <w:sz w:val="18"/>
                <w:szCs w:val="18"/>
                <w:shd w:val="clear" w:color="auto" w:fill="FFFFFF"/>
              </w:rPr>
              <w:t>, School of Dentistry, University of Messina, Italy. DDS at the University of Messina. PhD in “</w:t>
            </w:r>
            <w:proofErr w:type="spellStart"/>
            <w:r w:rsidRPr="003847DA">
              <w:rPr>
                <w:sz w:val="18"/>
                <w:szCs w:val="18"/>
                <w:shd w:val="clear" w:color="auto" w:fill="FFFFFF"/>
              </w:rPr>
              <w:t>Phisiopathology</w:t>
            </w:r>
            <w:proofErr w:type="spellEnd"/>
            <w:r w:rsidRPr="003847DA">
              <w:rPr>
                <w:sz w:val="18"/>
                <w:szCs w:val="18"/>
                <w:shd w:val="clear" w:color="auto" w:fill="FFFFFF"/>
              </w:rPr>
              <w:t xml:space="preserve"> of the </w:t>
            </w:r>
            <w:proofErr w:type="spellStart"/>
            <w:r w:rsidRPr="003847DA">
              <w:rPr>
                <w:sz w:val="18"/>
                <w:szCs w:val="18"/>
                <w:shd w:val="clear" w:color="auto" w:fill="FFFFFF"/>
              </w:rPr>
              <w:t>Stomatognatic</w:t>
            </w:r>
            <w:proofErr w:type="spellEnd"/>
            <w:r w:rsidRPr="003847DA">
              <w:rPr>
                <w:sz w:val="18"/>
                <w:szCs w:val="18"/>
                <w:shd w:val="clear" w:color="auto" w:fill="FFFFFF"/>
              </w:rPr>
              <w:t xml:space="preserve"> Apparatus and Dental Materials” at the University of Turin, Italy. Researcher fellow at the “Laboratory the Study of Calcified Tissues and Biomaterials” and “Department of Periodontology” Université de Montréal. Advanced Course in Periodontology, University of Ferrara. Master Course University of Verona, 2014. Involved with several research projects in the field of the periodontology, oral surgery and orthodontics. His research interests are mainly focused on the physiopathology of Periodontal Diseases and the jaw muscles, craniofacial growth, the </w:t>
            </w:r>
            <w:proofErr w:type="spellStart"/>
            <w:r w:rsidRPr="003847DA">
              <w:rPr>
                <w:sz w:val="18"/>
                <w:szCs w:val="18"/>
                <w:shd w:val="clear" w:color="auto" w:fill="FFFFFF"/>
              </w:rPr>
              <w:t>aetiology</w:t>
            </w:r>
            <w:proofErr w:type="spellEnd"/>
            <w:r w:rsidRPr="003847DA">
              <w:rPr>
                <w:sz w:val="18"/>
                <w:szCs w:val="18"/>
                <w:shd w:val="clear" w:color="auto" w:fill="FFFFFF"/>
              </w:rPr>
              <w:t xml:space="preserve"> and management of the different malocclusion and the relationship between jaw musculature and orthodontics. Active member of The European Orthodontic Society (EOS), IADR and member of the Italian Society of Periodontology (</w:t>
            </w:r>
            <w:proofErr w:type="spellStart"/>
            <w:r w:rsidRPr="003847DA">
              <w:rPr>
                <w:sz w:val="18"/>
                <w:szCs w:val="18"/>
                <w:shd w:val="clear" w:color="auto" w:fill="FFFFFF"/>
              </w:rPr>
              <w:t>SIdP</w:t>
            </w:r>
            <w:proofErr w:type="spellEnd"/>
            <w:r w:rsidRPr="003847DA">
              <w:rPr>
                <w:sz w:val="18"/>
                <w:szCs w:val="18"/>
                <w:shd w:val="clear" w:color="auto" w:fill="FFFFFF"/>
              </w:rPr>
              <w:t>). Author of several international peer reviewed publications about orthodontics, masticatory function and periodontology</w:t>
            </w:r>
            <w:r w:rsidRPr="003847DA">
              <w:rPr>
                <w:sz w:val="18"/>
                <w:szCs w:val="18"/>
              </w:rPr>
              <w:t>.</w:t>
            </w:r>
            <w:r w:rsidRPr="003847DA">
              <w:rPr>
                <w:b/>
                <w:bCs/>
                <w:sz w:val="18"/>
                <w:szCs w:val="18"/>
              </w:rPr>
              <w:t xml:space="preserve"> </w:t>
            </w:r>
            <w:r w:rsidRPr="003847DA">
              <w:rPr>
                <w:sz w:val="18"/>
                <w:szCs w:val="18"/>
              </w:rPr>
              <w:t xml:space="preserve">He can be contacted at email: </w:t>
            </w:r>
            <w:r w:rsidRPr="003847DA">
              <w:rPr>
                <w:sz w:val="18"/>
                <w:szCs w:val="18"/>
                <w:bdr w:val="none" w:sz="0" w:space="0" w:color="auto" w:frame="1"/>
                <w:shd w:val="clear" w:color="auto" w:fill="FFFFFF"/>
              </w:rPr>
              <w:t>gaetano.isola@unict.it</w:t>
            </w:r>
          </w:p>
        </w:tc>
      </w:tr>
    </w:tbl>
    <w:p w14:paraId="41B57CED" w14:textId="77777777" w:rsidR="00E619D6" w:rsidRPr="003847DA" w:rsidRDefault="00E619D6" w:rsidP="00E619D6">
      <w:pPr>
        <w:ind w:left="426" w:hanging="426"/>
        <w:jc w:val="both"/>
      </w:pPr>
    </w:p>
    <w:sectPr w:rsidR="00E619D6" w:rsidRPr="003847DA" w:rsidSect="002A276C">
      <w:headerReference w:type="even" r:id="rId34"/>
      <w:headerReference w:type="default" r:id="rId35"/>
      <w:footerReference w:type="even" r:id="rId36"/>
      <w:footerReference w:type="default" r:id="rId37"/>
      <w:headerReference w:type="first" r:id="rId38"/>
      <w:footerReference w:type="first" r:id="rId3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6AD2" w14:textId="77777777" w:rsidR="009A61F3" w:rsidRDefault="009A61F3">
      <w:r>
        <w:separator/>
      </w:r>
    </w:p>
  </w:endnote>
  <w:endnote w:type="continuationSeparator" w:id="0">
    <w:p w14:paraId="1A70D116" w14:textId="77777777" w:rsidR="009A61F3" w:rsidRDefault="009A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750AB7EA"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192" behindDoc="0" locked="0" layoutInCell="1" allowOverlap="1" wp14:anchorId="307E942D" wp14:editId="1E2FA531">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324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4D3838">
      <w:rPr>
        <w:noProof/>
      </w:rPr>
      <w:t>Int J Public Health Sci</w:t>
    </w:r>
    <w:r w:rsidR="00784C44" w:rsidRPr="00E619D6">
      <w:t xml:space="preserve">, </w:t>
    </w:r>
    <w:r w:rsidR="00097958" w:rsidRPr="00E619D6">
      <w:t xml:space="preserve">Vol. </w:t>
    </w:r>
    <w:r w:rsidR="002C4131">
      <w:t>99</w:t>
    </w:r>
    <w:r w:rsidR="00097958" w:rsidRPr="00E619D6">
      <w:t xml:space="preserve">, No. </w:t>
    </w:r>
    <w:r w:rsidR="002C4131">
      <w:t>1</w:t>
    </w:r>
    <w:r w:rsidR="0055343D" w:rsidRPr="00E619D6">
      <w:t xml:space="preserve">, </w:t>
    </w:r>
    <w:r w:rsidR="00A45398" w:rsidRPr="00735BBC">
      <w:t>Month</w:t>
    </w:r>
    <w:r w:rsidR="003A2810" w:rsidRPr="00735BBC">
      <w:t xml:space="preserve"> </w:t>
    </w:r>
    <w:r w:rsidR="003E4DD5" w:rsidRPr="00735BBC">
      <w:t>20</w:t>
    </w:r>
    <w:r w:rsidR="002C4131">
      <w:t>99</w:t>
    </w:r>
    <w:r w:rsidR="00E305A0" w:rsidRPr="00735BBC">
      <w:t>:</w:t>
    </w:r>
    <w:r w:rsidR="00097958" w:rsidRPr="00735BBC">
      <w:t xml:space="preserve"> </w:t>
    </w:r>
    <w:r w:rsidR="002C4131">
      <w:t>1</w:t>
    </w:r>
    <w:r w:rsidR="00BB48F9" w:rsidRPr="00735BBC">
      <w:t>-</w:t>
    </w:r>
    <w:r w:rsidR="002C4131">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3BAE0A66">
              <wp:simplePos x="0" y="0"/>
              <wp:positionH relativeFrom="column">
                <wp:posOffset>-82608</wp:posOffset>
              </wp:positionH>
              <wp:positionV relativeFrom="paragraph">
                <wp:posOffset>-429</wp:posOffset>
              </wp:positionV>
              <wp:extent cx="5795159" cy="0"/>
              <wp:effectExtent l="0" t="0" r="1524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1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409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5pt" to="44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5DDC30A1"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39513EC1">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7C717"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4D3838" w:rsidRPr="00CF3F5F">
      <w:rPr>
        <w:i/>
        <w:szCs w:val="18"/>
      </w:rPr>
      <w:t>http://</w:t>
    </w:r>
    <w:r w:rsidR="004D3838">
      <w:rPr>
        <w:i/>
        <w:szCs w:val="18"/>
      </w:rPr>
      <w:t>ijph</w:t>
    </w:r>
    <w:r w:rsidR="004D3838" w:rsidRPr="00CF3F5F">
      <w:rPr>
        <w:i/>
        <w:szCs w:val="18"/>
      </w:rPr>
      <w:t>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9FB0" w14:textId="77777777" w:rsidR="009A61F3" w:rsidRDefault="009A61F3">
      <w:r>
        <w:separator/>
      </w:r>
    </w:p>
  </w:footnote>
  <w:footnote w:type="continuationSeparator" w:id="0">
    <w:p w14:paraId="1F63D6E1" w14:textId="77777777" w:rsidR="009A61F3" w:rsidRDefault="009A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70FE7">
      <w:rPr>
        <w:rStyle w:val="PageNumber"/>
        <w:noProof/>
      </w:rPr>
      <w:t>2</w:t>
    </w:r>
    <w:r w:rsidRPr="003D5B84">
      <w:rPr>
        <w:rStyle w:val="PageNumber"/>
      </w:rPr>
      <w:fldChar w:fldCharType="end"/>
    </w:r>
  </w:p>
  <w:p w14:paraId="7F150106" w14:textId="66241174"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210EDC12">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D8942"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4D3838" w:rsidRPr="00FC7B4B">
      <w:t>2252-8806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70FE7">
      <w:rPr>
        <w:rStyle w:val="PageNumber"/>
        <w:noProof/>
      </w:rPr>
      <w:t>3</w:t>
    </w:r>
    <w:r w:rsidRPr="003D5B84">
      <w:rPr>
        <w:rStyle w:val="PageNumber"/>
      </w:rPr>
      <w:fldChar w:fldCharType="end"/>
    </w:r>
  </w:p>
  <w:p w14:paraId="72D04B55" w14:textId="073023F5" w:rsidR="00097958" w:rsidRPr="003D5B84" w:rsidRDefault="004D3838" w:rsidP="00222701">
    <w:pPr>
      <w:pStyle w:val="Header"/>
      <w:tabs>
        <w:tab w:val="clear" w:pos="4320"/>
        <w:tab w:val="clear" w:pos="8640"/>
        <w:tab w:val="left" w:pos="0"/>
        <w:tab w:val="center" w:pos="4301"/>
        <w:tab w:val="left" w:pos="7938"/>
      </w:tabs>
    </w:pPr>
    <w:r>
      <w:rPr>
        <w:noProof/>
      </w:rPr>
      <w:t>Int J Public Health Sci</w:t>
    </w:r>
    <w:r w:rsidR="00097958" w:rsidRPr="003D5B84">
      <w:t xml:space="preserve"> </w:t>
    </w:r>
    <w:r w:rsidR="00097958" w:rsidRPr="003D5B84">
      <w:tab/>
      <w:t>ISSN:</w:t>
    </w:r>
    <w:r w:rsidR="004F4003">
      <w:t xml:space="preserve"> </w:t>
    </w:r>
    <w:r w:rsidRPr="00D10C2A">
      <w:t>2252-8806</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521D6F17">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464E1"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FFE7" w14:textId="77777777" w:rsidR="004D3838" w:rsidRDefault="004D3838" w:rsidP="004D3838">
    <w:pPr>
      <w:pStyle w:val="Header"/>
      <w:tabs>
        <w:tab w:val="left" w:pos="720"/>
      </w:tabs>
      <w:ind w:right="45"/>
      <w:rPr>
        <w:b/>
      </w:rPr>
    </w:pPr>
    <w:r>
      <w:rPr>
        <w:b/>
      </w:rPr>
      <w:t>International Journal of Public Health Science (IJPHS)</w:t>
    </w:r>
  </w:p>
  <w:p w14:paraId="22713C07" w14:textId="52FF58DC" w:rsidR="004D3838" w:rsidRPr="003D5B84" w:rsidRDefault="004D3838" w:rsidP="004D3838">
    <w:pPr>
      <w:pStyle w:val="Header"/>
      <w:tabs>
        <w:tab w:val="clear" w:pos="4320"/>
        <w:tab w:val="clear" w:pos="8640"/>
      </w:tabs>
      <w:ind w:right="45"/>
    </w:pPr>
    <w:r w:rsidRPr="003D5B84">
      <w:t>Vol.</w:t>
    </w:r>
    <w:r>
      <w:t xml:space="preserve"> </w:t>
    </w:r>
    <w:r w:rsidR="00822CE1">
      <w:t>99</w:t>
    </w:r>
    <w:r w:rsidRPr="003D5B84">
      <w:t>, No.</w:t>
    </w:r>
    <w:r>
      <w:t xml:space="preserve"> </w:t>
    </w:r>
    <w:r w:rsidR="00822CE1">
      <w:t>1</w:t>
    </w:r>
    <w:r w:rsidRPr="003D5B84">
      <w:t xml:space="preserve">, </w:t>
    </w:r>
    <w:r>
      <w:t>Month 20</w:t>
    </w:r>
    <w:r w:rsidR="00822CE1">
      <w:t>99</w:t>
    </w:r>
    <w:r w:rsidRPr="003D5B84">
      <w:t xml:space="preserve">, pp. </w:t>
    </w:r>
    <w:r w:rsidR="00822CE1">
      <w:t>1</w:t>
    </w:r>
    <w:r w:rsidRPr="003D5B84">
      <w:t>~</w:t>
    </w:r>
    <w:r w:rsidR="00822CE1">
      <w:t>1x</w:t>
    </w:r>
  </w:p>
  <w:p w14:paraId="2A371CCD" w14:textId="562822A8" w:rsidR="00097958" w:rsidRDefault="004D3838" w:rsidP="004D3838">
    <w:pPr>
      <w:pStyle w:val="Header"/>
      <w:tabs>
        <w:tab w:val="clear" w:pos="4320"/>
        <w:tab w:val="clear" w:pos="8640"/>
        <w:tab w:val="left" w:pos="7938"/>
        <w:tab w:val="right" w:pos="8789"/>
      </w:tabs>
      <w:rPr>
        <w:rStyle w:val="PageNumber"/>
      </w:rPr>
    </w:pPr>
    <w:r>
      <w:t>ISSN: 2252-8806, DOI: 10.11591/</w:t>
    </w:r>
    <w:proofErr w:type="gramStart"/>
    <w:r>
      <w:t>ijphs.v</w:t>
    </w:r>
    <w:r w:rsidR="00822CE1">
      <w:t>99</w:t>
    </w:r>
    <w:r>
      <w:t>i</w:t>
    </w:r>
    <w:r w:rsidR="00822CE1">
      <w:t>1</w:t>
    </w:r>
    <w:r>
      <w:t>.paperID</w:t>
    </w:r>
    <w:proofErr w:type="gramEnd"/>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E24DA7">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60288" behindDoc="0" locked="0" layoutInCell="1" allowOverlap="1" wp14:anchorId="480481AD" wp14:editId="6931DF52">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501D0"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93E"/>
    <w:rsid w:val="00015F2A"/>
    <w:rsid w:val="00017858"/>
    <w:rsid w:val="0002123A"/>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09BB"/>
    <w:rsid w:val="000F279B"/>
    <w:rsid w:val="000F29E1"/>
    <w:rsid w:val="000F61E2"/>
    <w:rsid w:val="000F703D"/>
    <w:rsid w:val="000F7ED5"/>
    <w:rsid w:val="0010046E"/>
    <w:rsid w:val="001028FB"/>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7A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6BD4"/>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297"/>
    <w:rsid w:val="0028450D"/>
    <w:rsid w:val="00291EBF"/>
    <w:rsid w:val="00296D8E"/>
    <w:rsid w:val="002A0772"/>
    <w:rsid w:val="002A276C"/>
    <w:rsid w:val="002B0601"/>
    <w:rsid w:val="002B10C7"/>
    <w:rsid w:val="002B66EF"/>
    <w:rsid w:val="002B6EC9"/>
    <w:rsid w:val="002B7609"/>
    <w:rsid w:val="002C0665"/>
    <w:rsid w:val="002C2C92"/>
    <w:rsid w:val="002C4131"/>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3F0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5373"/>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847DA"/>
    <w:rsid w:val="00393D9D"/>
    <w:rsid w:val="00393E61"/>
    <w:rsid w:val="00396D02"/>
    <w:rsid w:val="003A0041"/>
    <w:rsid w:val="003A1C3E"/>
    <w:rsid w:val="003A2810"/>
    <w:rsid w:val="003A2970"/>
    <w:rsid w:val="003A496C"/>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8BD"/>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48E6"/>
    <w:rsid w:val="0043585C"/>
    <w:rsid w:val="00441F35"/>
    <w:rsid w:val="00443205"/>
    <w:rsid w:val="004439D2"/>
    <w:rsid w:val="00445517"/>
    <w:rsid w:val="004503E9"/>
    <w:rsid w:val="00453463"/>
    <w:rsid w:val="00453F49"/>
    <w:rsid w:val="004550E4"/>
    <w:rsid w:val="004637E8"/>
    <w:rsid w:val="00467368"/>
    <w:rsid w:val="004674CD"/>
    <w:rsid w:val="004710EE"/>
    <w:rsid w:val="00472E56"/>
    <w:rsid w:val="004740EC"/>
    <w:rsid w:val="004750E1"/>
    <w:rsid w:val="0047709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5667"/>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3838"/>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823"/>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4523"/>
    <w:rsid w:val="0055649A"/>
    <w:rsid w:val="00561BC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0E61"/>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1C"/>
    <w:rsid w:val="005F534C"/>
    <w:rsid w:val="005F75F8"/>
    <w:rsid w:val="006044C7"/>
    <w:rsid w:val="00605D6F"/>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8F2"/>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13"/>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C7E7F"/>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3E97"/>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2CE1"/>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1A1D"/>
    <w:rsid w:val="0088233C"/>
    <w:rsid w:val="0088280A"/>
    <w:rsid w:val="00883EB7"/>
    <w:rsid w:val="00884999"/>
    <w:rsid w:val="008914D2"/>
    <w:rsid w:val="00892C9F"/>
    <w:rsid w:val="00892FBD"/>
    <w:rsid w:val="00893AD8"/>
    <w:rsid w:val="00893D2C"/>
    <w:rsid w:val="00894D11"/>
    <w:rsid w:val="0089523F"/>
    <w:rsid w:val="008967E5"/>
    <w:rsid w:val="00897BCF"/>
    <w:rsid w:val="008A0709"/>
    <w:rsid w:val="008A07FE"/>
    <w:rsid w:val="008A12AD"/>
    <w:rsid w:val="008A1677"/>
    <w:rsid w:val="008A3243"/>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26"/>
    <w:rsid w:val="0094264B"/>
    <w:rsid w:val="0094367D"/>
    <w:rsid w:val="00943FA1"/>
    <w:rsid w:val="00945A5C"/>
    <w:rsid w:val="00946389"/>
    <w:rsid w:val="00946F70"/>
    <w:rsid w:val="0094738D"/>
    <w:rsid w:val="00950EF7"/>
    <w:rsid w:val="00954DC1"/>
    <w:rsid w:val="00955462"/>
    <w:rsid w:val="00956EB6"/>
    <w:rsid w:val="00956F83"/>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61F3"/>
    <w:rsid w:val="009B3EC0"/>
    <w:rsid w:val="009B4878"/>
    <w:rsid w:val="009B5FE8"/>
    <w:rsid w:val="009B62B1"/>
    <w:rsid w:val="009B76C2"/>
    <w:rsid w:val="009C080D"/>
    <w:rsid w:val="009C142A"/>
    <w:rsid w:val="009C5293"/>
    <w:rsid w:val="009D0F9A"/>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061"/>
    <w:rsid w:val="00A6214E"/>
    <w:rsid w:val="00A6261F"/>
    <w:rsid w:val="00A662A3"/>
    <w:rsid w:val="00A6661A"/>
    <w:rsid w:val="00A6697F"/>
    <w:rsid w:val="00A70FE7"/>
    <w:rsid w:val="00A71C8A"/>
    <w:rsid w:val="00A71ED6"/>
    <w:rsid w:val="00A73AC5"/>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27C64"/>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738"/>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C1960"/>
    <w:rsid w:val="00CD4F70"/>
    <w:rsid w:val="00CE05C5"/>
    <w:rsid w:val="00CE1CF3"/>
    <w:rsid w:val="00CE1E9B"/>
    <w:rsid w:val="00CE4BC0"/>
    <w:rsid w:val="00CE59F4"/>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38C2"/>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84C"/>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4DA7"/>
    <w:rsid w:val="00E2599A"/>
    <w:rsid w:val="00E26A0F"/>
    <w:rsid w:val="00E305A0"/>
    <w:rsid w:val="00E318D4"/>
    <w:rsid w:val="00E339EE"/>
    <w:rsid w:val="00E3557A"/>
    <w:rsid w:val="00E361C3"/>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662"/>
    <w:rsid w:val="00E81714"/>
    <w:rsid w:val="00E91546"/>
    <w:rsid w:val="00E91678"/>
    <w:rsid w:val="00E9206E"/>
    <w:rsid w:val="00E93438"/>
    <w:rsid w:val="00E93F64"/>
    <w:rsid w:val="00E94443"/>
    <w:rsid w:val="00E96092"/>
    <w:rsid w:val="00E96737"/>
    <w:rsid w:val="00E96B5C"/>
    <w:rsid w:val="00EA0668"/>
    <w:rsid w:val="00EA127F"/>
    <w:rsid w:val="00EA1A75"/>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C7999"/>
    <w:rsid w:val="00ED3490"/>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A6CE4"/>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0C4268E5-58A4-43B1-A28C-4C1A587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4D3838"/>
  </w:style>
  <w:style w:type="paragraph" w:customStyle="1" w:styleId="intro">
    <w:name w:val="intro"/>
    <w:basedOn w:val="Normal"/>
    <w:rsid w:val="00942626"/>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59822104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177082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yperlink" Target="https://scholar.google.com/citations?user=W03REUoAAAAJ&amp;hl=en" TargetMode="External"/><Relationship Id="rId39" Type="http://schemas.openxmlformats.org/officeDocument/2006/relationships/footer" Target="footer3.xml"/><Relationship Id="rId21" Type="http://schemas.openxmlformats.org/officeDocument/2006/relationships/image" Target="media/image9.sv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s://www.scopus.com/authid/detail.uri?authorId=2582512550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cid.org/0000-0002-0874-4448" TargetMode="External"/><Relationship Id="rId23" Type="http://schemas.openxmlformats.org/officeDocument/2006/relationships/image" Target="media/image10.png"/><Relationship Id="rId28" Type="http://schemas.openxmlformats.org/officeDocument/2006/relationships/hyperlink" Target="https://publons.com/researcher/2710352/david-stuckler/"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scopus.com/authid/detail.uri?authorId=55762239000" TargetMode="External"/><Relationship Id="rId31" Type="http://schemas.openxmlformats.org/officeDocument/2006/relationships/hyperlink" Target="https://scholar.google.com/citations?user=6I_Y7bAAAAAJ&amp;hl=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publons.com/researcher/1836786/yu-tzu-wu/" TargetMode="External"/><Relationship Id="rId27" Type="http://schemas.openxmlformats.org/officeDocument/2006/relationships/hyperlink" Target="https://www.scopus.com/authid/detail.uri?authorId=23568944000" TargetMode="External"/><Relationship Id="rId30" Type="http://schemas.openxmlformats.org/officeDocument/2006/relationships/hyperlink" Target="https://orcid.org/0000-0003-4267-6992" TargetMode="External"/><Relationship Id="rId35" Type="http://schemas.openxmlformats.org/officeDocument/2006/relationships/header" Target="header2.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cholar.google.com/citations?user=lBUmf9EAAAAJ&amp;hl=zh-TW" TargetMode="External"/><Relationship Id="rId25" Type="http://schemas.openxmlformats.org/officeDocument/2006/relationships/hyperlink" Target="https://orcid.org/0000-0002-1288-8401" TargetMode="External"/><Relationship Id="rId33" Type="http://schemas.openxmlformats.org/officeDocument/2006/relationships/hyperlink" Target="https://publons.com/researcher/270159/gaetano-isola/"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8196-D690-4368-8781-67B7C860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International Journal of Public Health Science (IJPHS)</vt:lpstr>
    </vt:vector>
  </TitlesOfParts>
  <Company>IAES | Institute of Advanced Engineering and Science</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Public Health Science (IJPHS)</dc:title>
  <dc:creator>IJPHS</dc:creator>
  <cp:keywords>adolescent health; behavioral medicine; biostatistics; chronic diseases; environmental health; epidemiology; evaluation &amp; intervention; family health; gerontology, child health; health economics; health promotion; health services research; infectious diseases; nutrition occupational health; public health policy &amp; management; rural health;</cp:keywords>
  <dc:description>IJPHS Template and Guide of Authors</dc:description>
  <cp:lastModifiedBy>IAES CORE 1</cp:lastModifiedBy>
  <cp:revision>20</cp:revision>
  <cp:lastPrinted>2021-08-05T08:35:00Z</cp:lastPrinted>
  <dcterms:created xsi:type="dcterms:W3CDTF">2021-09-20T05:06:00Z</dcterms:created>
  <dcterms:modified xsi:type="dcterms:W3CDTF">2022-01-12T07:01:00Z</dcterms:modified>
</cp:coreProperties>
</file>