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B51E2C" w:rsidRDefault="00354A58" w:rsidP="00956EB6">
      <w:pPr>
        <w:pStyle w:val="Title"/>
        <w:rPr>
          <w:sz w:val="32"/>
          <w:szCs w:val="32"/>
        </w:rPr>
      </w:pPr>
      <w:bookmarkStart w:id="0" w:name="_Hlk78354194"/>
      <w:r w:rsidRPr="00B51E2C">
        <w:rPr>
          <w:sz w:val="32"/>
          <w:szCs w:val="32"/>
          <w:lang w:val="en-ID"/>
        </w:rPr>
        <w:t>Paper’s</w:t>
      </w:r>
      <w:r w:rsidRPr="00B51E2C">
        <w:rPr>
          <w:sz w:val="32"/>
          <w:szCs w:val="32"/>
        </w:rPr>
        <w:t xml:space="preserve"> </w:t>
      </w:r>
      <w:r w:rsidRPr="00B51E2C">
        <w:rPr>
          <w:sz w:val="32"/>
          <w:szCs w:val="32"/>
          <w:lang w:val="en-US"/>
        </w:rPr>
        <w:t>title</w:t>
      </w:r>
      <w:bookmarkEnd w:id="0"/>
      <w:r w:rsidRPr="00B51E2C">
        <w:rPr>
          <w:sz w:val="32"/>
          <w:szCs w:val="32"/>
          <w:lang w:val="en-US"/>
        </w:rPr>
        <w:t xml:space="preserve"> </w:t>
      </w:r>
      <w:r w:rsidR="005160A8" w:rsidRPr="00B51E2C">
        <w:rPr>
          <w:sz w:val="32"/>
          <w:szCs w:val="32"/>
        </w:rPr>
        <w:t xml:space="preserve">should be </w:t>
      </w:r>
      <w:r w:rsidR="005160A8" w:rsidRPr="00B51E2C">
        <w:rPr>
          <w:sz w:val="32"/>
          <w:szCs w:val="32"/>
          <w:lang w:val="en-US"/>
        </w:rPr>
        <w:t>t</w:t>
      </w:r>
      <w:r w:rsidR="005160A8" w:rsidRPr="00B51E2C">
        <w:rPr>
          <w:sz w:val="32"/>
          <w:szCs w:val="32"/>
        </w:rPr>
        <w:t xml:space="preserve">he fewest possible words that </w:t>
      </w:r>
      <w:r w:rsidR="005160A8" w:rsidRPr="00B51E2C">
        <w:rPr>
          <w:iCs/>
          <w:sz w:val="32"/>
          <w:szCs w:val="32"/>
        </w:rPr>
        <w:t xml:space="preserve">accurately describe </w:t>
      </w:r>
      <w:r w:rsidR="005160A8" w:rsidRPr="00B51E2C">
        <w:rPr>
          <w:iCs/>
          <w:sz w:val="32"/>
          <w:szCs w:val="32"/>
          <w:lang w:val="en-US"/>
        </w:rPr>
        <w:t>t</w:t>
      </w:r>
      <w:r w:rsidR="005160A8" w:rsidRPr="00B51E2C">
        <w:rPr>
          <w:iCs/>
          <w:sz w:val="32"/>
          <w:szCs w:val="32"/>
        </w:rPr>
        <w:t xml:space="preserve">he content </w:t>
      </w:r>
      <w:r w:rsidR="005160A8" w:rsidRPr="00B51E2C">
        <w:rPr>
          <w:iCs/>
          <w:sz w:val="32"/>
          <w:szCs w:val="32"/>
          <w:lang w:val="en-US"/>
        </w:rPr>
        <w:t>o</w:t>
      </w:r>
      <w:r w:rsidR="005160A8" w:rsidRPr="00B51E2C">
        <w:rPr>
          <w:iCs/>
          <w:sz w:val="32"/>
          <w:szCs w:val="32"/>
        </w:rPr>
        <w:t xml:space="preserve">f </w:t>
      </w:r>
      <w:r w:rsidR="005160A8" w:rsidRPr="00B51E2C">
        <w:rPr>
          <w:iCs/>
          <w:sz w:val="32"/>
          <w:szCs w:val="32"/>
          <w:lang w:val="en-US"/>
        </w:rPr>
        <w:t>t</w:t>
      </w:r>
      <w:r w:rsidR="005160A8" w:rsidRPr="00B51E2C">
        <w:rPr>
          <w:iCs/>
          <w:sz w:val="32"/>
          <w:szCs w:val="32"/>
        </w:rPr>
        <w:t>he paper</w:t>
      </w:r>
      <w:r w:rsidR="005160A8" w:rsidRPr="00B51E2C">
        <w:rPr>
          <w:iCs/>
          <w:sz w:val="32"/>
          <w:szCs w:val="32"/>
          <w:lang w:val="en-US"/>
        </w:rPr>
        <w:t xml:space="preserve"> </w:t>
      </w:r>
      <w:r w:rsidR="00904D6D" w:rsidRPr="00B51E2C">
        <w:rPr>
          <w:sz w:val="32"/>
          <w:szCs w:val="32"/>
        </w:rPr>
        <w:t>(Center, Bold, 16</w:t>
      </w:r>
      <w:proofErr w:type="spellStart"/>
      <w:r w:rsidR="00F33C08" w:rsidRPr="00B51E2C">
        <w:rPr>
          <w:sz w:val="32"/>
          <w:szCs w:val="32"/>
          <w:lang w:val="en-US"/>
        </w:rPr>
        <w:t>pt</w:t>
      </w:r>
      <w:proofErr w:type="spellEnd"/>
      <w:r w:rsidR="00904D6D" w:rsidRPr="00B51E2C">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7A9F44CF" w14:textId="168DCD36" w:rsidR="00062EE6" w:rsidRPr="00851B56" w:rsidRDefault="00917EBE" w:rsidP="00062EE6">
      <w:pPr>
        <w:jc w:val="center"/>
        <w:rPr>
          <w:b/>
          <w:bCs/>
        </w:rPr>
      </w:pPr>
      <w:bookmarkStart w:id="1" w:name="_Hlk80000582"/>
      <w:r w:rsidRPr="00917EBE">
        <w:rPr>
          <w:b/>
          <w:bCs/>
          <w:lang w:val="id-ID"/>
        </w:rPr>
        <w:t>Suttichai Premrudeeprechacharn</w:t>
      </w:r>
      <w:r w:rsidR="00062EE6" w:rsidRPr="00851B56">
        <w:rPr>
          <w:b/>
          <w:bCs/>
          <w:vertAlign w:val="superscript"/>
        </w:rPr>
        <w:t>1</w:t>
      </w:r>
      <w:r w:rsidR="00062EE6" w:rsidRPr="00851B56">
        <w:rPr>
          <w:b/>
          <w:bCs/>
          <w:lang w:val="id-ID"/>
        </w:rPr>
        <w:t xml:space="preserve">, </w:t>
      </w:r>
      <w:r w:rsidR="002045BC" w:rsidRPr="002045BC">
        <w:rPr>
          <w:b/>
          <w:bCs/>
          <w:lang w:val="id-ID"/>
        </w:rPr>
        <w:t>Angela Amphawan</w:t>
      </w:r>
      <w:r w:rsidRPr="00851B56">
        <w:rPr>
          <w:b/>
          <w:bCs/>
          <w:vertAlign w:val="superscript"/>
        </w:rPr>
        <w:t>2</w:t>
      </w:r>
      <w:r w:rsidRPr="00917EBE">
        <w:rPr>
          <w:b/>
          <w:bCs/>
          <w:lang w:val="id-ID"/>
        </w:rPr>
        <w:t>,</w:t>
      </w:r>
      <w:r>
        <w:rPr>
          <w:b/>
          <w:bCs/>
        </w:rPr>
        <w:t xml:space="preserve"> </w:t>
      </w:r>
      <w:r w:rsidR="00062EE6" w:rsidRPr="00851B56">
        <w:rPr>
          <w:b/>
          <w:bCs/>
          <w:lang w:val="id-ID"/>
        </w:rPr>
        <w:t xml:space="preserve">Almoataz </w:t>
      </w:r>
      <w:r w:rsidR="006E0C37" w:rsidRPr="00851B56">
        <w:rPr>
          <w:b/>
          <w:bCs/>
          <w:lang w:val="id-ID"/>
        </w:rPr>
        <w:t>Youssef</w:t>
      </w:r>
      <w:r w:rsidR="006E0C37" w:rsidRPr="00851B56">
        <w:rPr>
          <w:b/>
          <w:bCs/>
        </w:rPr>
        <w:t xml:space="preserve"> </w:t>
      </w:r>
      <w:r w:rsidR="00062EE6" w:rsidRPr="00851B56">
        <w:rPr>
          <w:b/>
          <w:bCs/>
          <w:lang w:val="id-ID"/>
        </w:rPr>
        <w:t>Abdelaziz</w:t>
      </w:r>
      <w:r>
        <w:rPr>
          <w:b/>
          <w:bCs/>
          <w:vertAlign w:val="superscript"/>
        </w:rPr>
        <w:t>3</w:t>
      </w:r>
      <w:r w:rsidR="00CF1C58" w:rsidRPr="00851B56">
        <w:rPr>
          <w:b/>
          <w:bCs/>
          <w:vertAlign w:val="superscript"/>
        </w:rPr>
        <w:t>,</w:t>
      </w:r>
      <w:r>
        <w:rPr>
          <w:b/>
          <w:bCs/>
          <w:vertAlign w:val="superscript"/>
        </w:rPr>
        <w:t>4</w:t>
      </w:r>
      <w:r w:rsidR="00062EE6" w:rsidRPr="00851B56">
        <w:rPr>
          <w:b/>
          <w:bCs/>
        </w:rPr>
        <w:t xml:space="preserve"> (10 </w:t>
      </w:r>
      <w:proofErr w:type="spellStart"/>
      <w:r w:rsidR="00062EE6" w:rsidRPr="00851B56">
        <w:rPr>
          <w:b/>
          <w:bCs/>
        </w:rPr>
        <w:t>pt</w:t>
      </w:r>
      <w:proofErr w:type="spellEnd"/>
      <w:r w:rsidR="00062EE6" w:rsidRPr="00851B56">
        <w:rPr>
          <w:b/>
          <w:bCs/>
        </w:rPr>
        <w:t>)</w:t>
      </w:r>
    </w:p>
    <w:p w14:paraId="4B1FBAC0" w14:textId="50D98056" w:rsidR="00062EE6" w:rsidRDefault="00F266B5" w:rsidP="00062EE6">
      <w:pPr>
        <w:jc w:val="center"/>
        <w:rPr>
          <w:sz w:val="16"/>
          <w:szCs w:val="16"/>
        </w:rPr>
      </w:pPr>
      <w:bookmarkStart w:id="2" w:name="_Hlk68515371"/>
      <w:r w:rsidRPr="00851B56">
        <w:rPr>
          <w:sz w:val="16"/>
          <w:szCs w:val="16"/>
          <w:vertAlign w:val="superscript"/>
        </w:rPr>
        <w:t>1</w:t>
      </w:r>
      <w:r w:rsidR="00AD1A38" w:rsidRPr="00AD1A38">
        <w:rPr>
          <w:sz w:val="16"/>
          <w:szCs w:val="16"/>
        </w:rPr>
        <w:t>Department of Electrical Engineering, Faculty of Engineering, Chiang Mai University, Chiang Mai,</w:t>
      </w:r>
      <w:r w:rsidR="00AD1A38">
        <w:rPr>
          <w:sz w:val="16"/>
          <w:szCs w:val="16"/>
        </w:rPr>
        <w:t xml:space="preserve"> </w:t>
      </w:r>
      <w:r w:rsidR="00AD1A38" w:rsidRPr="00AD1A38">
        <w:rPr>
          <w:sz w:val="16"/>
          <w:szCs w:val="16"/>
        </w:rPr>
        <w:t>Thailand</w:t>
      </w:r>
      <w:r w:rsidR="00062EE6" w:rsidRPr="00851B56">
        <w:rPr>
          <w:sz w:val="16"/>
          <w:szCs w:val="16"/>
        </w:rPr>
        <w:t xml:space="preserve"> (</w:t>
      </w:r>
      <w:r w:rsidR="008B4221" w:rsidRPr="00851B56">
        <w:rPr>
          <w:sz w:val="16"/>
          <w:szCs w:val="16"/>
        </w:rPr>
        <w:t>8</w:t>
      </w:r>
      <w:r w:rsidR="00062EE6" w:rsidRPr="00851B56">
        <w:rPr>
          <w:sz w:val="16"/>
          <w:szCs w:val="16"/>
        </w:rPr>
        <w:t xml:space="preserve"> </w:t>
      </w:r>
      <w:proofErr w:type="spellStart"/>
      <w:r w:rsidR="00062EE6" w:rsidRPr="00851B56">
        <w:rPr>
          <w:sz w:val="16"/>
          <w:szCs w:val="16"/>
        </w:rPr>
        <w:t>pt</w:t>
      </w:r>
      <w:proofErr w:type="spellEnd"/>
      <w:r w:rsidR="00062EE6" w:rsidRPr="00851B56">
        <w:rPr>
          <w:sz w:val="16"/>
          <w:szCs w:val="16"/>
        </w:rPr>
        <w:t>)</w:t>
      </w:r>
    </w:p>
    <w:p w14:paraId="7248F19D" w14:textId="5B33DC72" w:rsidR="00917EBE" w:rsidRPr="00851B56" w:rsidRDefault="00AD1A38" w:rsidP="00062EE6">
      <w:pPr>
        <w:jc w:val="center"/>
        <w:rPr>
          <w:sz w:val="16"/>
          <w:szCs w:val="16"/>
        </w:rPr>
      </w:pPr>
      <w:r w:rsidRPr="00AD1A38">
        <w:rPr>
          <w:sz w:val="16"/>
          <w:szCs w:val="16"/>
          <w:vertAlign w:val="superscript"/>
        </w:rPr>
        <w:t>2</w:t>
      </w:r>
      <w:r w:rsidR="00AE041B" w:rsidRPr="00AE041B">
        <w:rPr>
          <w:sz w:val="16"/>
          <w:szCs w:val="16"/>
        </w:rPr>
        <w:t>Research Laboratory of Electronics, Massachusetts Institute of Technology, Cambridge, United States</w:t>
      </w:r>
    </w:p>
    <w:bookmarkEnd w:id="2"/>
    <w:p w14:paraId="1B4C33D7" w14:textId="2C8D4B47" w:rsidR="00062EE6" w:rsidRPr="00851B56" w:rsidRDefault="00917EBE" w:rsidP="00062EE6">
      <w:pPr>
        <w:jc w:val="center"/>
        <w:rPr>
          <w:sz w:val="16"/>
          <w:szCs w:val="16"/>
        </w:rPr>
      </w:pPr>
      <w:r>
        <w:rPr>
          <w:sz w:val="16"/>
          <w:szCs w:val="16"/>
          <w:vertAlign w:val="superscript"/>
        </w:rPr>
        <w:t>3</w:t>
      </w:r>
      <w:r w:rsidR="00062EE6" w:rsidRPr="00851B56">
        <w:rPr>
          <w:sz w:val="16"/>
          <w:szCs w:val="16"/>
        </w:rPr>
        <w:t xml:space="preserve">Department of Electrical Engineering, </w:t>
      </w:r>
      <w:r w:rsidR="00CF1C58" w:rsidRPr="00851B56">
        <w:rPr>
          <w:sz w:val="16"/>
          <w:szCs w:val="16"/>
        </w:rPr>
        <w:t xml:space="preserve">Faculty of Engineering, </w:t>
      </w:r>
      <w:r w:rsidR="00062EE6" w:rsidRPr="00851B56">
        <w:rPr>
          <w:sz w:val="16"/>
          <w:szCs w:val="16"/>
        </w:rPr>
        <w:t xml:space="preserve">Ain Shams University, </w:t>
      </w:r>
      <w:r w:rsidR="003D6B19" w:rsidRPr="00851B56">
        <w:rPr>
          <w:sz w:val="16"/>
          <w:szCs w:val="16"/>
        </w:rPr>
        <w:t xml:space="preserve">Cairo, </w:t>
      </w:r>
      <w:r w:rsidR="00062EE6" w:rsidRPr="00851B56">
        <w:rPr>
          <w:sz w:val="16"/>
          <w:szCs w:val="16"/>
        </w:rPr>
        <w:t>Egypt</w:t>
      </w:r>
    </w:p>
    <w:p w14:paraId="416417E9" w14:textId="24C15249" w:rsidR="00176E19" w:rsidRPr="00756935" w:rsidRDefault="00AD1A38" w:rsidP="00062EE6">
      <w:pPr>
        <w:jc w:val="center"/>
        <w:rPr>
          <w:sz w:val="16"/>
          <w:szCs w:val="16"/>
        </w:rPr>
      </w:pPr>
      <w:bookmarkStart w:id="3" w:name="_Hlk80023275"/>
      <w:r>
        <w:rPr>
          <w:sz w:val="16"/>
          <w:szCs w:val="16"/>
          <w:vertAlign w:val="superscript"/>
        </w:rPr>
        <w:t>4</w:t>
      </w:r>
      <w:r w:rsidR="00176E19" w:rsidRPr="00851B56">
        <w:rPr>
          <w:sz w:val="16"/>
          <w:szCs w:val="16"/>
        </w:rPr>
        <w:t xml:space="preserve">Department of </w:t>
      </w:r>
      <w:bookmarkStart w:id="4" w:name="_Hlk80015074"/>
      <w:r w:rsidR="00176E19" w:rsidRPr="00851B56">
        <w:rPr>
          <w:sz w:val="16"/>
          <w:szCs w:val="16"/>
        </w:rPr>
        <w:t>Electrical Engineering</w:t>
      </w:r>
      <w:bookmarkEnd w:id="4"/>
      <w:r w:rsidR="00176E19" w:rsidRPr="00851B56">
        <w:rPr>
          <w:sz w:val="16"/>
          <w:szCs w:val="16"/>
        </w:rPr>
        <w:t xml:space="preserve">, Faculty of Engineering and Technology, </w:t>
      </w:r>
      <w:bookmarkStart w:id="5" w:name="_Hlk80015015"/>
      <w:bookmarkStart w:id="6" w:name="_Hlk80026573"/>
      <w:r w:rsidR="00176E19" w:rsidRPr="00851B56">
        <w:rPr>
          <w:sz w:val="16"/>
          <w:szCs w:val="16"/>
        </w:rPr>
        <w:t>Future University in</w:t>
      </w:r>
      <w:bookmarkEnd w:id="3"/>
      <w:r w:rsidR="00176E19" w:rsidRPr="00851B56">
        <w:rPr>
          <w:sz w:val="16"/>
          <w:szCs w:val="16"/>
        </w:rPr>
        <w:t xml:space="preserve"> Egypt</w:t>
      </w:r>
      <w:bookmarkEnd w:id="5"/>
      <w:r w:rsidR="00176E19" w:rsidRPr="00851B56">
        <w:rPr>
          <w:sz w:val="16"/>
          <w:szCs w:val="16"/>
        </w:rPr>
        <w:t>, Cairo, Egypt</w:t>
      </w:r>
      <w:bookmarkEnd w:id="6"/>
    </w:p>
    <w:bookmarkEnd w:id="1"/>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6E7F6CAB" w:rsidR="00941203" w:rsidRPr="00851B56" w:rsidRDefault="00941203" w:rsidP="00957C11">
            <w:pPr>
              <w:jc w:val="both"/>
            </w:pPr>
            <w:r w:rsidRPr="00851B56">
              <w:t xml:space="preserve">Received </w:t>
            </w:r>
            <w:r w:rsidR="00523156" w:rsidRPr="00851B56">
              <w:t>m</w:t>
            </w:r>
            <w:r w:rsidR="008A4B7F" w:rsidRPr="00851B56">
              <w:t>onth</w:t>
            </w:r>
            <w:r w:rsidR="00523156" w:rsidRPr="00851B56">
              <w:t xml:space="preserve"> dd, </w:t>
            </w:r>
            <w:proofErr w:type="spellStart"/>
            <w:r w:rsidR="00523156" w:rsidRPr="00851B56">
              <w:t>yyyy</w:t>
            </w:r>
            <w:proofErr w:type="spellEnd"/>
          </w:p>
          <w:p w14:paraId="745B47E5" w14:textId="1EEBCE49" w:rsidR="00941203" w:rsidRPr="00851B56" w:rsidRDefault="00941203" w:rsidP="00957C11">
            <w:pPr>
              <w:jc w:val="both"/>
            </w:pPr>
            <w:r w:rsidRPr="00851B56">
              <w:t xml:space="preserve">Revised </w:t>
            </w:r>
            <w:r w:rsidR="008A4B7F" w:rsidRPr="00851B56">
              <w:t>month</w:t>
            </w:r>
            <w:r w:rsidR="00523156" w:rsidRPr="00851B56">
              <w:t xml:space="preserve"> dd, </w:t>
            </w:r>
            <w:proofErr w:type="spellStart"/>
            <w:r w:rsidR="00523156" w:rsidRPr="00851B56">
              <w:t>yyyy</w:t>
            </w:r>
            <w:proofErr w:type="spellEnd"/>
          </w:p>
          <w:p w14:paraId="6CE20EAE" w14:textId="06415149" w:rsidR="00941203" w:rsidRDefault="00941203" w:rsidP="00957C11">
            <w:pPr>
              <w:jc w:val="both"/>
            </w:pPr>
            <w:r w:rsidRPr="00851B56">
              <w:t xml:space="preserve">Accepted </w:t>
            </w:r>
            <w:r w:rsidR="008A4B7F" w:rsidRPr="00851B56">
              <w:t>month</w:t>
            </w:r>
            <w:r w:rsidR="00523156" w:rsidRPr="00851B56">
              <w:t xml:space="preserve"> dd, </w:t>
            </w:r>
            <w:proofErr w:type="spellStart"/>
            <w:r w:rsidR="00523156" w:rsidRPr="00851B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38501CAB" w:rsidR="00941203" w:rsidRPr="00957C11" w:rsidRDefault="00BE2FF2" w:rsidP="00957C11">
            <w:pPr>
              <w:spacing w:before="120"/>
              <w:jc w:val="both"/>
            </w:pPr>
            <w:r w:rsidRPr="00BE2FF2">
              <w:rPr>
                <w:iCs/>
                <w:color w:val="000000"/>
                <w:sz w:val="18"/>
                <w:szCs w:val="18"/>
              </w:rPr>
              <w:t xml:space="preserve">An abstract is often presented separate from the article, so it must be able to stand alone. </w:t>
            </w:r>
            <w:r>
              <w:rPr>
                <w:iCs/>
                <w:color w:val="000000"/>
                <w:sz w:val="18"/>
                <w:szCs w:val="18"/>
              </w:rPr>
              <w:t xml:space="preserve"> </w:t>
            </w:r>
            <w:r w:rsidR="00F15BF4">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00F15BF4">
              <w:rPr>
                <w:sz w:val="18"/>
                <w:szCs w:val="18"/>
              </w:rPr>
              <w:t xml:space="preserve"> </w:t>
            </w:r>
            <w:r w:rsidR="00F15BF4">
              <w:rPr>
                <w:iCs/>
                <w:color w:val="000000"/>
                <w:sz w:val="18"/>
                <w:szCs w:val="18"/>
              </w:rPr>
              <w:t xml:space="preserve">The </w:t>
            </w:r>
            <w:r>
              <w:rPr>
                <w:iCs/>
                <w:color w:val="000000"/>
                <w:sz w:val="18"/>
                <w:szCs w:val="18"/>
              </w:rPr>
              <w:t>a</w:t>
            </w:r>
            <w:r w:rsidR="00F15BF4">
              <w:rPr>
                <w:iCs/>
                <w:color w:val="000000"/>
                <w:sz w:val="18"/>
                <w:szCs w:val="18"/>
              </w:rPr>
              <w:t xml:space="preserve">bstract should be informative and completely self-explanatory, provide a clear statement of the problem, the proposed approach or solution, and point out major findings and conclusions. </w:t>
            </w:r>
            <w:r w:rsidR="00F15BF4">
              <w:rPr>
                <w:b/>
                <w:bCs/>
                <w:iCs/>
                <w:color w:val="000000"/>
                <w:sz w:val="18"/>
                <w:szCs w:val="18"/>
              </w:rPr>
              <w:t xml:space="preserve">The Abstract should be 100 to 200 words in length. </w:t>
            </w:r>
            <w:r w:rsidRPr="00BE2FF2">
              <w:rPr>
                <w:iCs/>
                <w:color w:val="000000"/>
                <w:sz w:val="18"/>
                <w:szCs w:val="18"/>
              </w:rPr>
              <w:t xml:space="preserve">References should be avoided, but if essential, then cite the author(s) and year(s). </w:t>
            </w:r>
            <w:r>
              <w:rPr>
                <w:iCs/>
                <w:color w:val="000000"/>
                <w:sz w:val="18"/>
                <w:szCs w:val="18"/>
              </w:rPr>
              <w:t>Standard nomenclature should be used</w:t>
            </w:r>
            <w:r w:rsidRPr="00BE2FF2">
              <w:rPr>
                <w:iCs/>
                <w:color w:val="000000"/>
                <w:sz w:val="18"/>
                <w:szCs w:val="18"/>
              </w:rPr>
              <w:t>,</w:t>
            </w:r>
            <w:r>
              <w:rPr>
                <w:iCs/>
                <w:color w:val="000000"/>
                <w:sz w:val="18"/>
                <w:szCs w:val="18"/>
              </w:rPr>
              <w:t xml:space="preserve"> and</w:t>
            </w:r>
            <w:r w:rsidRPr="00BE2FF2">
              <w:rPr>
                <w:iCs/>
                <w:color w:val="000000"/>
                <w:sz w:val="18"/>
                <w:szCs w:val="18"/>
              </w:rPr>
              <w:t xml:space="preserve"> non-standard or uncommon abbreviations should be avoided, but if essential they must be defined at their first mention in the abstract itself.</w:t>
            </w:r>
            <w:r w:rsidR="00F15BF4">
              <w:rPr>
                <w:iCs/>
                <w:color w:val="000000"/>
                <w:sz w:val="18"/>
                <w:szCs w:val="18"/>
              </w:rPr>
              <w:t xml:space="preserve"> No literature should be cited.</w:t>
            </w:r>
            <w:r w:rsidR="00F15BF4">
              <w:rPr>
                <w:sz w:val="18"/>
                <w:szCs w:val="18"/>
              </w:rPr>
              <w:t xml:space="preserve"> </w:t>
            </w:r>
            <w:r w:rsidR="00F15BF4">
              <w:rPr>
                <w:iCs/>
                <w:color w:val="000000"/>
                <w:sz w:val="18"/>
                <w:szCs w:val="18"/>
              </w:rPr>
              <w:t xml:space="preserve">The keyword list provides the opportunity to add </w:t>
            </w:r>
            <w:r>
              <w:rPr>
                <w:iCs/>
                <w:color w:val="000000"/>
                <w:sz w:val="18"/>
                <w:szCs w:val="18"/>
              </w:rPr>
              <w:t>5 to</w:t>
            </w:r>
            <w:r w:rsidRPr="00BE2FF2">
              <w:rPr>
                <w:iCs/>
                <w:color w:val="000000"/>
                <w:sz w:val="18"/>
                <w:szCs w:val="18"/>
              </w:rPr>
              <w:t xml:space="preserve"> 7 </w:t>
            </w:r>
            <w:r w:rsidR="00F15BF4">
              <w:rPr>
                <w:iCs/>
                <w:color w:val="000000"/>
                <w:sz w:val="18"/>
                <w:szCs w:val="18"/>
              </w:rPr>
              <w:t>keywords, used by the indexing and abstracting services, in addition to those already present in the title</w:t>
            </w:r>
            <w:r>
              <w:rPr>
                <w:iCs/>
                <w:color w:val="000000"/>
                <w:sz w:val="18"/>
                <w:szCs w:val="18"/>
              </w:rPr>
              <w:t xml:space="preserve"> </w:t>
            </w:r>
            <w:r w:rsidR="00F15BF4">
              <w:rPr>
                <w:sz w:val="18"/>
                <w:szCs w:val="18"/>
              </w:rPr>
              <w:t xml:space="preserve">(9 </w:t>
            </w:r>
            <w:proofErr w:type="spellStart"/>
            <w:r w:rsidR="00F15BF4">
              <w:rPr>
                <w:sz w:val="18"/>
                <w:szCs w:val="18"/>
              </w:rPr>
              <w:t>pt</w:t>
            </w:r>
            <w:proofErr w:type="spellEnd"/>
            <w:r w:rsidR="00F15BF4">
              <w:rPr>
                <w:sz w:val="18"/>
                <w:szCs w:val="18"/>
              </w:rPr>
              <w:t>)</w:t>
            </w:r>
            <w:r w:rsidR="00F15BF4">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2C3EF2F7" w14:textId="39A5647E" w:rsidR="00AD1A38" w:rsidRDefault="00AD1A38" w:rsidP="00062EE6">
            <w:proofErr w:type="spellStart"/>
            <w:r w:rsidRPr="00AD1A38">
              <w:t>Suttichai</w:t>
            </w:r>
            <w:proofErr w:type="spellEnd"/>
            <w:r w:rsidRPr="00AD1A38">
              <w:t xml:space="preserve"> </w:t>
            </w:r>
            <w:proofErr w:type="spellStart"/>
            <w:r w:rsidRPr="00AD1A38">
              <w:t>Premrudeeprechacharn</w:t>
            </w:r>
            <w:proofErr w:type="spellEnd"/>
          </w:p>
          <w:p w14:paraId="190CFAB6" w14:textId="60FCE767" w:rsidR="00AD1A38" w:rsidRDefault="00AD1A38" w:rsidP="00062EE6">
            <w:r w:rsidRPr="00AD1A38">
              <w:t>Department of Electrical Engineering, Faculty of Engineering, Chiang Mai University</w:t>
            </w:r>
          </w:p>
          <w:p w14:paraId="478B119B" w14:textId="58FD7727" w:rsidR="00AD1A38" w:rsidRDefault="00AD1A38" w:rsidP="00AD1A38">
            <w:r w:rsidRPr="00AD1A38">
              <w:t>239 Huay Kaew Road, Muang District, Chiang Mai</w:t>
            </w:r>
            <w:r w:rsidR="00432932">
              <w:t xml:space="preserve"> </w:t>
            </w:r>
            <w:r w:rsidR="00432932" w:rsidRPr="00AD1A38">
              <w:t>50200</w:t>
            </w:r>
            <w:r>
              <w:t>,</w:t>
            </w:r>
            <w:r w:rsidRPr="00AD1A38">
              <w:t xml:space="preserve"> Thailand</w:t>
            </w:r>
          </w:p>
          <w:p w14:paraId="3C411EDF" w14:textId="3BA9FA69" w:rsidR="00941203" w:rsidRPr="00AD1A38" w:rsidRDefault="00062EE6" w:rsidP="00AD1A38">
            <w:pPr>
              <w:spacing w:after="120"/>
            </w:pPr>
            <w:r>
              <w:t xml:space="preserve">Email: </w:t>
            </w:r>
            <w:r w:rsidR="00AD1A38">
              <w:t>suttichai</w:t>
            </w:r>
            <w:r>
              <w:t>@mail.com</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16622F1D" w:rsidR="00E619D6" w:rsidRPr="008629D4" w:rsidRDefault="00E619D6" w:rsidP="00E619D6">
      <w:pPr>
        <w:ind w:firstLine="720"/>
        <w:jc w:val="both"/>
      </w:pPr>
      <w:bookmarkStart w:id="7" w:name="_Hlk80000636"/>
      <w:bookmarkStart w:id="8" w:name="_Hlk80016671"/>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manuscript is written in Microsoft Word, single space, </w:t>
      </w:r>
      <w:r w:rsidRPr="003D6B19">
        <w:t>Time New Roman</w:t>
      </w:r>
      <w:r w:rsidRPr="003D6B19">
        <w:rPr>
          <w:lang w:val="id-ID"/>
        </w:rPr>
        <w:t xml:space="preserve"> 10</w:t>
      </w:r>
      <w:r w:rsidRPr="003D6B19">
        <w:t xml:space="preserve"> </w:t>
      </w:r>
      <w:r w:rsidRPr="003D6B19">
        <w:rPr>
          <w:lang w:val="id-ID"/>
        </w:rPr>
        <w:t>pt</w:t>
      </w:r>
      <w:r w:rsidR="008629D4">
        <w:t>,</w:t>
      </w:r>
      <w:r w:rsidRPr="003D6B19">
        <w:rPr>
          <w:lang w:val="id-ID"/>
        </w:rPr>
        <w:t xml:space="preserve"> and maximum 12 pages</w:t>
      </w:r>
      <w:r w:rsidR="00CC7B7A">
        <w:t xml:space="preserve"> for original research article</w:t>
      </w:r>
      <w:r w:rsidR="008629D4">
        <w:t>,</w:t>
      </w:r>
      <w:r w:rsidR="00CC7B7A">
        <w:t xml:space="preserve"> or </w:t>
      </w:r>
      <w:r w:rsidR="008629D4" w:rsidRPr="003D6B19">
        <w:rPr>
          <w:lang w:val="id-ID"/>
        </w:rPr>
        <w:t xml:space="preserve">maximum </w:t>
      </w:r>
      <w:r w:rsidR="008629D4">
        <w:t>16 pages for review/survey paper</w:t>
      </w:r>
      <w:r w:rsidRPr="003D6B19">
        <w:rPr>
          <w:lang w:val="id-ID"/>
        </w:rPr>
        <w:t>, which can be downloaded at the website:</w:t>
      </w:r>
      <w:bookmarkEnd w:id="7"/>
      <w:r w:rsidRPr="003D6B19">
        <w:rPr>
          <w:lang w:val="id-ID"/>
        </w:rPr>
        <w:t xml:space="preserve"> </w:t>
      </w:r>
      <w:bookmarkEnd w:id="8"/>
      <w:r w:rsidRPr="003D6B19">
        <w:rPr>
          <w:iCs/>
          <w:lang w:val="id-ID"/>
        </w:rPr>
        <w:t>http://ijece.iaescore.com</w:t>
      </w:r>
      <w:r w:rsidR="008629D4">
        <w:rPr>
          <w:iCs/>
        </w:rPr>
        <w:t>.</w:t>
      </w:r>
    </w:p>
    <w:p w14:paraId="277D3344" w14:textId="161715DB" w:rsidR="00272BB5" w:rsidRDefault="00354A58" w:rsidP="00354A58">
      <w:pPr>
        <w:ind w:firstLine="720"/>
        <w:jc w:val="both"/>
        <w:rPr>
          <w:lang w:val="id-ID"/>
        </w:rPr>
      </w:pPr>
      <w:bookmarkStart w:id="9" w:name="_Hlk80000657"/>
      <w:bookmarkStart w:id="10" w:name="_Hlk78354294"/>
      <w:r w:rsidRPr="003D6B19">
        <w:rPr>
          <w:lang w:val="id-ID"/>
        </w:rPr>
        <w:t>A title</w:t>
      </w:r>
      <w:r w:rsidRPr="003D6B19">
        <w:t xml:space="preserve"> of article</w:t>
      </w:r>
      <w:r w:rsidRPr="003D6B19">
        <w:rPr>
          <w:lang w:val="id-ID"/>
        </w:rPr>
        <w:t xml:space="preserve"> should be the fewest possible words that accurately describe the content of the paper. </w:t>
      </w:r>
      <w:r w:rsidR="00201F3F">
        <w:t>The</w:t>
      </w:r>
      <w:r w:rsidR="00201F3F"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00213B7B" w:rsidRPr="00213B7B">
        <w:rPr>
          <w:lang w:val="id-ID"/>
        </w:rPr>
        <w:t>Avoid writing long formulas with subscripts in the title</w:t>
      </w:r>
      <w:r w:rsidR="00213B7B">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rsidR="00CC2F23">
        <w:t>,</w:t>
      </w:r>
      <w:r w:rsidRPr="003D6B19">
        <w:rPr>
          <w:lang w:val="id-ID"/>
        </w:rPr>
        <w:t xml:space="preserve"> etc. </w:t>
      </w:r>
    </w:p>
    <w:p w14:paraId="107275F9" w14:textId="183B129C" w:rsidR="00354A58" w:rsidRPr="007315A7" w:rsidRDefault="00272BB5" w:rsidP="007315A7">
      <w:pPr>
        <w:ind w:firstLine="720"/>
        <w:jc w:val="both"/>
      </w:pPr>
      <w:r w:rsidRPr="00272BB5">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w:t>
      </w:r>
      <w:r w:rsidRPr="00272BB5">
        <w:rPr>
          <w:lang w:val="id-ID"/>
        </w:rPr>
        <w:lastRenderedPageBreak/>
        <w:t>multiple concepts (avoid, for example, 'and', 'of'). Be sparing with abbreviations: only abbreviations firmly established in the field may be eligible. These keywords will be used for indexing purposes.</w:t>
      </w:r>
      <w:r>
        <w:t xml:space="preserve"> </w:t>
      </w:r>
      <w:r w:rsidR="00354A58" w:rsidRPr="003D6B19">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12249DE3" w14:textId="15558F88" w:rsidR="00354A58" w:rsidRPr="003D6B19" w:rsidRDefault="00354A58" w:rsidP="00354A58">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xml:space="preserve">: </w:t>
      </w:r>
      <w:proofErr w:type="spellStart"/>
      <w:r w:rsidRPr="003D6B19">
        <w:rPr>
          <w:lang w:val="en-ID"/>
        </w:rPr>
        <w:t>i</w:t>
      </w:r>
      <w:proofErr w:type="spellEnd"/>
      <w:r w:rsidRPr="003D6B19">
        <w:rPr>
          <w:lang w:val="en-ID"/>
        </w:rPr>
        <w:t>)</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rsidRPr="003D6B19">
        <w:fldChar w:fldCharType="begin" w:fldLock="1"/>
      </w:r>
      <w:r w:rsidRPr="003D6B19">
        <w:rPr>
          <w:lang w:val="id-ID"/>
        </w:rPr>
        <w:instrText>ADDIN CSL_CITATION {"citationItems":[{"id":"ITEM-1","itemData":{"author":[{"dropping-particle":"","family":"Sigala","given":"Marianna","non-dropping-particle":"","parse-names":false,"suffix":""},{"dropping-particle":"","family":"Beer","given":"Andrew","non-dropping-particle":"","parse-names":false,"suffix":""},{"dropping-particle":"","family":"Hodgson","given":"Laura","non-dropping-particle":"","parse-names":false,"suffix":""},{"dropping-particle":"","family":"O’Connor","given":"Allan","non-dropping-particle":"","parse-names":false,"suffix":""}],"id":"ITEM-1","issued":{"date-parts":[["2019"]]},"number-of-pages":"57-73","title":"Big Data for Measuring the Impact of Tourism Economic Development Programmes: A Process and Quality Criteria Framework for Using Big Data","type":"book"},"uris":["http://www.mendeley.com/documents/?uuid=c45269a4-d73f-4938-a305-ba67f67d0604"]},{"id":"ITEM-2","itemData":{"DOI":"10.1007/s10462-018-09679-z","ISSN":"15737462","abstract":"The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Review","id":"ITEM-2","issue":"1","issued":{"date-parts":[["2019"]]},"page":"77-124","publisher":"Springer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survey","type":"article-journal","volume":"52"},"uris":["http://www.mendeley.com/documents/?uuid=ba6f84de-1264-4176-bb33-d4bd0856084e"]}],"mendeley":{"formattedCitation":"[1], [2]","plainTextFormattedCitation":"[1], [2]","previouslyFormattedCitation":"[1], [2]"},"properties":{"noteIndex":0},"schema":"https://github.com/citation-style-language/schema/raw/master/csl-citation.json"}</w:instrText>
      </w:r>
      <w:r w:rsidRPr="003D6B19">
        <w:fldChar w:fldCharType="separate"/>
      </w:r>
      <w:r w:rsidRPr="003D6B19">
        <w:rPr>
          <w:noProof/>
          <w:lang w:val="id-ID"/>
        </w:rPr>
        <w:t>[1], [2]</w:t>
      </w:r>
      <w:r w:rsidRPr="003D6B19">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rsidR="00272BB5">
        <w:t xml:space="preserve"> </w:t>
      </w:r>
      <w:r w:rsidR="00272BB5" w:rsidRPr="003D6B19">
        <w:fldChar w:fldCharType="begin" w:fldLock="1"/>
      </w:r>
      <w:r w:rsidR="00272BB5" w:rsidRPr="003D6B19">
        <w:instrText>ADDIN CSL_CITATION {"citationItems":[{"id":"ITEM-1","itemData":{"DOI":"10.1186/s40537-019-0197-0","ISSN":"21961115","abstract":"Deep convolutional neural networks have performed remarkably well on many Computer Vision tasks. However, these networks are heavily reliant on big data to avoid overfitting. Overfitting refers to the phenomenon when a network learns a function with very high variance such as to perfectly model the training data. Unfortunately, many application domains do not have access to big data, such as medical image analysis. This survey focuses on Data Augmentation, a data-space solution to the problem of limited data. Data Augmentation encompasses a suite of techniques that enhance the size and quality of training datasets such that better Deep Learning models can be built using them. The image augmentation algorithms discussed in this survey include geometric transformations, color space augmentations, kernel filters, mixing images, random erasing, feature space augmentation, adversarial training, generative adversarial networks, neural style transfer, and meta-learning. The application of augmentation methods based on GANs are heavily covered in this survey. In addition to augmentation techniques, this paper will briefly discuss other characteristics of Data Augmentation such as test-time augmentation, resolution impact, final dataset size, and curriculum learning. This survey will present existing methods for Data Augmentation, promising developments, and meta-level decisions for implementing Data Augmentation. Readers will understand how Data Augmentation can improve the performance of their models and expand limited datasets to take advantage of the capabilities of big data.","author":[{"dropping-particle":"","family":"Shorten","given":"Connor","non-dropping-particle":"","parse-names":false,"suffix":""},{"dropping-particle":"","family":"Khoshgoftaar","given":"Taghi M.","non-dropping-particle":"","parse-names":false,"suffix":""}],"container-title":"Journal of Big Data","id":"ITEM-1","issue":"1","issued":{"date-parts":[["2019"]]},"publisher":"Springer International Publishing","title":"A survey on Image Data Augmentation for Deep Learning","type":"article-journal","volume":"6"},"uris":["http://www.mendeley.com/documents/?uuid=3913f4d2-bbc7-4192-a4bd-9da46121ec06"]}],"mendeley":{"formattedCitation":"[3]","plainTextFormattedCitation":"[3]","previouslyFormattedCitation":"[3]"},"properties":{"noteIndex":0},"schema":"https://github.com/citation-style-language/schema/raw/master/csl-citation.json"}</w:instrText>
      </w:r>
      <w:r w:rsidR="00272BB5" w:rsidRPr="003D6B19">
        <w:fldChar w:fldCharType="separate"/>
      </w:r>
      <w:r w:rsidR="00272BB5" w:rsidRPr="003D6B19">
        <w:rPr>
          <w:noProof/>
        </w:rPr>
        <w:t>[3]</w:t>
      </w:r>
      <w:r w:rsidR="00272BB5" w:rsidRPr="003D6B19">
        <w:fldChar w:fldCharType="end"/>
      </w:r>
      <w:r w:rsidRPr="003D6B19">
        <w:t xml:space="preserve">. The section or subsection headings should be typed on a separate line, e.g., 1. INTRODUCTION. </w:t>
      </w:r>
      <w:r w:rsidR="007F01C2" w:rsidRPr="007F01C2">
        <w:t>A full article usually follows a standard structure</w:t>
      </w:r>
      <w:r w:rsidRPr="003D6B19">
        <w:rPr>
          <w:lang w:val="id-ID"/>
        </w:rPr>
        <w:t>:</w:t>
      </w:r>
      <w:r w:rsidR="007F01C2">
        <w:t xml:space="preserve"> </w:t>
      </w:r>
      <w:r w:rsidRPr="003D6B19">
        <w:rPr>
          <w:b/>
          <w:bCs/>
          <w:lang w:val="en-ID"/>
        </w:rPr>
        <w:t>1.</w:t>
      </w:r>
      <w:r w:rsidRPr="003D6B19">
        <w:rPr>
          <w:lang w:val="en-ID"/>
        </w:rPr>
        <w:t xml:space="preserve"> </w:t>
      </w:r>
      <w:r w:rsidR="007F01C2" w:rsidRPr="003D6B19">
        <w:rPr>
          <w:b/>
          <w:lang w:val="id-ID"/>
        </w:rPr>
        <w:t>Introduction</w:t>
      </w:r>
      <w:r w:rsidR="007F01C2" w:rsidRPr="003D6B19">
        <w:rPr>
          <w:b/>
          <w:lang w:val="en-ID"/>
        </w:rPr>
        <w:t>, 2. T</w:t>
      </w:r>
      <w:r w:rsidR="007F01C2" w:rsidRPr="003D6B19">
        <w:rPr>
          <w:b/>
          <w:lang w:val="id-ID"/>
        </w:rPr>
        <w:t xml:space="preserve">he Comprehensive Theoretical Basis </w:t>
      </w:r>
      <w:r w:rsidR="007F01C2">
        <w:rPr>
          <w:b/>
        </w:rPr>
        <w:t>a</w:t>
      </w:r>
      <w:r w:rsidR="007F01C2" w:rsidRPr="003D6B19">
        <w:rPr>
          <w:b/>
        </w:rPr>
        <w:t>nd/</w:t>
      </w:r>
      <w:r w:rsidR="007F01C2">
        <w:rPr>
          <w:b/>
        </w:rPr>
        <w:t>o</w:t>
      </w:r>
      <w:r w:rsidR="007F01C2" w:rsidRPr="003D6B19">
        <w:rPr>
          <w:b/>
        </w:rPr>
        <w:t xml:space="preserve">r </w:t>
      </w:r>
      <w:r w:rsidR="007F01C2">
        <w:rPr>
          <w:b/>
        </w:rPr>
        <w:t>t</w:t>
      </w:r>
      <w:r w:rsidR="007F01C2" w:rsidRPr="003D6B19">
        <w:rPr>
          <w:b/>
        </w:rPr>
        <w:t xml:space="preserve">he </w:t>
      </w:r>
      <w:r w:rsidR="007F01C2" w:rsidRPr="003D6B19">
        <w:rPr>
          <w:b/>
          <w:lang w:val="id-ID"/>
        </w:rPr>
        <w:t>Proposed Method/Algorithm</w:t>
      </w:r>
      <w:r w:rsidR="007F01C2" w:rsidRPr="003D6B19">
        <w:rPr>
          <w:b/>
          <w:lang w:val="en-ID"/>
        </w:rPr>
        <w:t xml:space="preserve"> </w:t>
      </w:r>
      <w:r w:rsidR="007F01C2" w:rsidRPr="009C06E2">
        <w:rPr>
          <w:bCs/>
          <w:i/>
          <w:iCs/>
          <w:lang w:val="en-ID"/>
        </w:rPr>
        <w:t>(</w:t>
      </w:r>
      <w:r w:rsidR="00DD4EAF" w:rsidRPr="009C06E2">
        <w:rPr>
          <w:bCs/>
          <w:i/>
          <w:iCs/>
          <w:lang w:val="en-ID"/>
        </w:rPr>
        <w:t>o</w:t>
      </w:r>
      <w:r w:rsidR="007F01C2" w:rsidRPr="009C06E2">
        <w:rPr>
          <w:bCs/>
          <w:i/>
          <w:iCs/>
          <w:lang w:val="en-ID"/>
        </w:rPr>
        <w:t>ptional)</w:t>
      </w:r>
      <w:r w:rsidR="007F01C2" w:rsidRPr="003D6B19">
        <w:rPr>
          <w:b/>
          <w:lang w:val="en-ID"/>
        </w:rPr>
        <w:t xml:space="preserve">, 3. </w:t>
      </w:r>
      <w:r w:rsidR="007F01C2" w:rsidRPr="003D6B19">
        <w:rPr>
          <w:b/>
          <w:lang w:val="id-ID"/>
        </w:rPr>
        <w:t>Method</w:t>
      </w:r>
      <w:r w:rsidR="007F01C2" w:rsidRPr="003D6B19">
        <w:rPr>
          <w:b/>
          <w:lang w:val="en-ID"/>
        </w:rPr>
        <w:t xml:space="preserve">, </w:t>
      </w:r>
      <w:r w:rsidR="007F01C2">
        <w:rPr>
          <w:b/>
          <w:lang w:val="en-ID"/>
        </w:rPr>
        <w:br/>
      </w:r>
      <w:r w:rsidR="007F01C2" w:rsidRPr="003D6B19">
        <w:rPr>
          <w:b/>
          <w:lang w:val="en-ID"/>
        </w:rPr>
        <w:t xml:space="preserve">4. </w:t>
      </w:r>
      <w:r w:rsidR="007F01C2" w:rsidRPr="003D6B19">
        <w:rPr>
          <w:b/>
          <w:lang w:val="id-ID"/>
        </w:rPr>
        <w:t xml:space="preserve">Results </w:t>
      </w:r>
      <w:r w:rsidR="007F01C2">
        <w:rPr>
          <w:b/>
        </w:rPr>
        <w:t>a</w:t>
      </w:r>
      <w:r w:rsidR="007F01C2" w:rsidRPr="003D6B19">
        <w:rPr>
          <w:b/>
          <w:lang w:val="id-ID"/>
        </w:rPr>
        <w:t>nd Discussion</w:t>
      </w:r>
      <w:r w:rsidR="007F01C2" w:rsidRPr="003D6B19">
        <w:rPr>
          <w:b/>
          <w:lang w:val="en-ID"/>
        </w:rPr>
        <w:t xml:space="preserve">, </w:t>
      </w:r>
      <w:r w:rsidR="007F01C2">
        <w:rPr>
          <w:b/>
          <w:lang w:val="en-ID"/>
        </w:rPr>
        <w:t>a</w:t>
      </w:r>
      <w:r w:rsidR="007F01C2" w:rsidRPr="003D6B19">
        <w:rPr>
          <w:b/>
          <w:lang w:val="en-ID"/>
        </w:rPr>
        <w:t xml:space="preserve">nd 5. </w:t>
      </w:r>
      <w:r w:rsidR="007F01C2" w:rsidRPr="003D6B19">
        <w:rPr>
          <w:b/>
          <w:lang w:val="id-ID"/>
        </w:rPr>
        <w:t>Conclusion</w:t>
      </w:r>
      <w:r w:rsidR="007F01C2">
        <w:rPr>
          <w:b/>
        </w:rPr>
        <w:t xml:space="preserve">. </w:t>
      </w:r>
      <w:r w:rsidR="007F01C2" w:rsidRPr="007F01C2">
        <w:rPr>
          <w:bCs/>
        </w:rPr>
        <w:t xml:space="preserve">The structure is well-known as </w:t>
      </w:r>
      <w:proofErr w:type="spellStart"/>
      <w:r w:rsidR="007F01C2" w:rsidRPr="007F01C2">
        <w:rPr>
          <w:b/>
          <w:lang w:val="en-ID"/>
        </w:rPr>
        <w:t>IMRaD</w:t>
      </w:r>
      <w:proofErr w:type="spellEnd"/>
      <w:r w:rsidR="007F01C2" w:rsidRPr="007F01C2">
        <w:rPr>
          <w:bCs/>
          <w:lang w:val="en-ID"/>
        </w:rPr>
        <w:t xml:space="preserve"> </w:t>
      </w:r>
      <w:r w:rsidRPr="007F01C2">
        <w:rPr>
          <w:bCs/>
          <w:lang w:val="en-ID"/>
        </w:rPr>
        <w:t>style</w:t>
      </w:r>
      <w:r w:rsidRPr="007F01C2">
        <w:rPr>
          <w:bCs/>
          <w:lang w:val="id-ID"/>
        </w:rPr>
        <w:t>.</w:t>
      </w:r>
      <w:r w:rsidRPr="003D6B19">
        <w:rPr>
          <w:lang w:val="id-ID"/>
        </w:rPr>
        <w:t xml:space="preserve"> </w:t>
      </w:r>
    </w:p>
    <w:p w14:paraId="21C9CB6F" w14:textId="0E654B84" w:rsidR="00354A58" w:rsidRPr="003D6B19" w:rsidRDefault="00354A58" w:rsidP="00354A58">
      <w:pPr>
        <w:ind w:firstLine="720"/>
        <w:jc w:val="both"/>
        <w:rPr>
          <w:spacing w:val="-2"/>
          <w:lang w:val="id-ID"/>
        </w:rPr>
      </w:pPr>
      <w:bookmarkStart w:id="11" w:name="_Hlk80000697"/>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rsidRPr="003D6B19">
        <w:rPr>
          <w:spacing w:val="-2"/>
        </w:rPr>
        <w:fldChar w:fldCharType="begin" w:fldLock="1"/>
      </w:r>
      <w:r w:rsidRPr="003D6B19">
        <w:rPr>
          <w:spacing w:val="-2"/>
        </w:rPr>
        <w:instrText>ADDIN CSL_CITATION {"citationItems":[{"id":"ITEM-1","itemData":{"DOI":"10.1007/s10462-018-09679-z","ISSN":"15737462","abstract":"The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[2]","plainTextFormattedCitation":"[2]","previouslyFormattedCitation":"[2]"},"properties":{"noteIndex":0},"schema":"https://github.com/citation-style-language/schema/raw/master/csl-citation.json"}</w:instrText>
      </w:r>
      <w:r w:rsidRPr="003D6B19">
        <w:rPr>
          <w:spacing w:val="-2"/>
        </w:rPr>
        <w:fldChar w:fldCharType="separate"/>
      </w:r>
      <w:r w:rsidRPr="003D6B19">
        <w:rPr>
          <w:noProof/>
          <w:spacing w:val="-2"/>
        </w:rPr>
        <w:t>[2]</w:t>
      </w:r>
      <w:r w:rsidRPr="003D6B19">
        <w:rPr>
          <w:spacing w:val="-2"/>
        </w:rPr>
        <w:fldChar w:fldCharType="end"/>
      </w:r>
      <w:r w:rsidRPr="003D6B19">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sidRPr="003D6B19">
        <w:rPr>
          <w:spacing w:val="-2"/>
        </w:rPr>
        <w:fldChar w:fldCharType="begin" w:fldLock="1"/>
      </w:r>
      <w:r w:rsidRPr="003D6B19">
        <w:rPr>
          <w:spacing w:val="-2"/>
        </w:rPr>
        <w:instrText>ADDIN CSL_CITATION {"citationItems":[{"id":"ITEM-1","itemData":{"DOI":"10.1109/ACCESS.2019.2895334","ISSN":"21693536","abstract":"Machine learning techniques are being widely used to develop an intrusion detection system (IDS) for detecting and classifying cyberattacks at the network-level and the host-level in a timely and automatic manner. However, many challenges arise since malicious attacks are continually changing and are occurring in very large volumes requiring a scalable solution. There are different malware datasets available publicly for further research by cyber security community. However, no existing study has shown the detailed analysis of the performance of various machine learning algorithms on various publicly available datasets. Due to the dynamic nature of malware with continuously changing attacking methods, the malware datasets available publicly are to be updated systematically and benchmarked. In this paper, a deep neural network (DNN), a type of deep learning model, is explored to develop a flexible and effective IDS to detect and classify unforeseen and unpredictable cyberattacks. The continuous change in network behavior and rapid evolution of attacks makes it necessary to evaluate various datasets which are generated over the years through static and dynamic approaches. This type of study facilitates to identify the best algorithm which can effectively work in detecting future cyberattacks. A comprehensive evaluation of experiments of DNNs and other classical machine learning classifiers are shown on various publicly available benchmark malware datasets. The optimal network parameters and network topologies for DNNs are chosen through the following hyperparameter selection methods with KDDCup 99 dataset. All the experiments of DNNs are run till 1,000 epochs with the learning rate varying in the range [0.01-0.5]. The DNN model which performed well on KDDCup 99 is applied on other datasets, such as NSL-KDD, UNSW-NB15, Kyoto, WSN-DS, and CICIDS 2017, to conduct the benchmark. Our DNN model learns the abstract and high-dimensional feature representation of the IDS data by passing them into many hidden layers. Through a rigorous experimental testing, it is confirmed that DNNs perform well in comparison with the classical machine learning classifiers. Finally, we propose a highly scalable and hybrid DNNs framework called scale-hybrid-IDS-AlertNet which can be used in real-time to effectively monitor the network traffic and host-level events to proactively alert possible cyberattacks.","author":[{"dropping-particle":"","family":"Vinayakumar","given":"R.","non-dropping-particle":"","parse-names":false,"suffix":""},{"dropping-particle":"","family":"Alazab","given":"Mamoun","non-dropping-particle":"","parse-names":false,"suffix":""},{"dropping-particle":"","family":"Soman","given":"K. P.","non-dropping-particle":"","parse-names":false,"suffix":""},{"dropping-particle":"","family":"Poornachandran","given":"Prabaharan","non-dropping-particle":"","parse-names":false,"suffix":""},{"dropping-particle":"","family":"Al-Nemrat","given":"Ameer","non-dropping-particle":"","parse-names":false,"suffix":""},{"dropping-particle":"","family":"Venkatraman","given":"Sitalakshmi","non-dropping-particle":"","parse-names":false,"suffix":""}],"container-title":"IEEE Access","id":"ITEM-1","issued":{"date-parts":[["2019"]]},"page":"41525-41550","publisher":"IEEE","title":"Deep Learning Approach for Intelligent Intrusion Detection System","type":"article-journal","volume":"7"},"uris":["http://www.mendeley.com/documents/?uuid=efaca2e8-aaf6-4a9d-b352-b0265f4ce7df"]}],"mendeley":{"formattedCitation":"[4]","plainTextFormattedCitation":"[4]","previouslyFormattedCitation":"[4]"},"properties":{"noteIndex":0},"schema":"https://github.com/citation-style-language/schema/raw/master/csl-citation.json"}</w:instrText>
      </w:r>
      <w:r w:rsidRPr="003D6B19">
        <w:rPr>
          <w:spacing w:val="-2"/>
        </w:rPr>
        <w:fldChar w:fldCharType="separate"/>
      </w:r>
      <w:r w:rsidRPr="003D6B19">
        <w:rPr>
          <w:noProof/>
          <w:spacing w:val="-2"/>
        </w:rPr>
        <w:t>[4]</w:t>
      </w:r>
      <w:r w:rsidRPr="003D6B19">
        <w:rPr>
          <w:spacing w:val="-2"/>
        </w:rPr>
        <w:fldChar w:fldCharType="end"/>
      </w:r>
      <w:r w:rsidRPr="003D6B19">
        <w:rPr>
          <w:spacing w:val="-2"/>
          <w:lang w:val="id-ID"/>
        </w:rPr>
        <w:t>.</w:t>
      </w:r>
      <w:bookmarkEnd w:id="9"/>
    </w:p>
    <w:bookmarkEnd w:id="10"/>
    <w:bookmarkEnd w:id="11"/>
    <w:p w14:paraId="01B08C88" w14:textId="77777777" w:rsidR="00E619D6" w:rsidRPr="003D6B19" w:rsidRDefault="00E619D6" w:rsidP="00E619D6">
      <w:pPr>
        <w:jc w:val="both"/>
      </w:pPr>
    </w:p>
    <w:p w14:paraId="6D0BF8E6" w14:textId="77777777" w:rsidR="00E619D6" w:rsidRPr="003D6B19" w:rsidRDefault="00E619D6" w:rsidP="00E619D6">
      <w:pPr>
        <w:jc w:val="both"/>
      </w:pPr>
    </w:p>
    <w:p w14:paraId="7F5871EF" w14:textId="5F0EC751"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0019F16A" w14:textId="6AAA1470" w:rsidR="00354A58" w:rsidRPr="007B39E8" w:rsidRDefault="00354A58" w:rsidP="007B39E8">
      <w:pPr>
        <w:ind w:firstLine="720"/>
        <w:jc w:val="both"/>
        <w:rPr>
          <w:lang w:val="id-ID"/>
        </w:rPr>
      </w:pPr>
      <w:bookmarkStart w:id="12" w:name="_Hlk80000746"/>
      <w:bookmarkStart w:id="13" w:name="_Hlk78354310"/>
      <w:r w:rsidRPr="003D6B19">
        <w:rPr>
          <w:lang w:val="id-ID"/>
        </w:rPr>
        <w:t>Explaining research chronological, including research design, research procedure (in the form of algorithms, Pseudocode or other), how to test and data acquisition</w:t>
      </w:r>
      <w:r w:rsidRPr="003D6B19">
        <w:t xml:space="preserve"> </w:t>
      </w:r>
      <w:r w:rsidRPr="003D6B19">
        <w:fldChar w:fldCharType="begin" w:fldLock="1"/>
      </w:r>
      <w:r w:rsidRPr="003D6B19">
        <w:instrText>ADDIN CSL_CITATION {"citationItems":[{"id":"ITEM-1","itemData":{"DOI":"10.35940/ijitee.I3187.0789S319","ISSN":"22783075","abstract":"We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Engineering","id":"ITEM-1","issue":"9 Special Issue 3","issued":{"date-parts":[["2019"]]},"page":"883-887","title":"Network failure detection and diagnosis by analyzing syslog and SNS data: Applying big data analysis to network operations","type":"article-journal","volume":"8"},"uris":["http://www.mendeley.com/documents/?uuid=1f0f8047-26f4-446e-892e-fee949c83fbb"]},{"id":"ITEM-2","itemData":{"DOI":"10.3390/s19020326","ISSN":"14248220","PMID":"30650612","abstract":"Medical care has become one of the most indispensable parts of human lives, leading to a dramatic increase in medical big data. To streamline the diagnosis and treatment process, healthcare professionals are now adopting Internet of Things (IoT)-based wearable technology. Recent years have witnessed billions of sensors, devices, and vehicles being connected through the Internet. One such technology—remote patient monitoring—is common nowadays for the treatment and care of patients. However, these technologies also pose grave privacy risks and security concerns about the data transfer and the logging of data transactions. These security and privacy problems of medical data could result from a delay in treatment progress, even endangering the patient’s life. We propose the use of a blockchain to provide secure management and analysis of healthcare big data. However, blockchains are computationally expensive, demand high bandwidth and extra computational power, and are therefore not completely suitable for most resource-constrained IoT devices meant for smart cities. In this work, we try to resolve the above-mentioned issues of using blockchain with IoT devices. We propose a novel framework of modified blockchain models suitable for IoT devices that rely on their distributed nature and other additional privacy and security properties of the network. These additional privacy and security properties in our model are based on advanced cryptographic primitives. The solutions given here make IoT application data and transactions more secure and anonymous over a blockchain-based network.","author":[{"dropping-particle":"","family":"Dwivedi","given":"Ashutosh Dhar","non-dropping-particle":"","parse-names":false,"suffix":""},{"dropping-particle":"","family":"Srivastava","given":"Gautam","non-dropping-particle":"","parse-names":false,"suffix":""},{"dropping-particle":"","family":"Dhar","given":"Shalini","non-dropping-particle":"","parse-names":false,"suffix":""},{"dropping-particle":"","family":"Singh","given":"Rajani","non-dropping-particle":"","parse-names":false,"suffix":""}],"container-title":"Sensors (Switzerland)","id":"ITEM-2","issue":"2","issued":{"date-parts":[["2019"]]},"page":"1-17","title":"A decentralized privacy-preserving healthcare blockchain for IoT","type":"article-journal","volume":"19"},"uris":["http://www.mendeley.com/documents/?uuid=373b05cf-83eb-4f4d-8315-4bae5af3a03b"]},{"id":"ITEM-3","itemData":{"DOI":"10.1109/ACCESS.2019.2931637","ISSN":"21693536","abstract":"In the cloud-based Internet of Things (IoT) environments, quantifying uncertainty is an important element input to keep the acceptable level of reliability in various configurations. In this paper, we aim to address the pricing model of delivering data over the cloud while taking into consideration the dynamic uncertainty factors such as network topology, transmission/reception energy, nodal charge and power, and computation capacity. These uncertainty factors are mapped to different nodes with varying capabilities to be processed using Artificial Intelligence (AI)-based algorithms. Accordingly, we aim to find a way to calculate and predict the price per big data service over the cloud using AI and deep learning. Therefore, in this paper, we propose a framework to address big data delivery issues in cloud-based IoT environments by considering uncertainty factors. We compare the performance of the framework using two AI-based techniques called Genetic Algorithm (GA) and Simulated Annealing Algorithm (SAA) in both centralized and distributed versions. The use of AI techniques can be applied in multilevel to provide a kind of deep learning to further improve the performance of the system under study. The results reveal that the distributed algorithm outperforms the centralized one. In addition, the results show that the GA has lower running time compared to the SAA in all the test cases such as 68% of improvement in the centralized version, and 66% of improvement in the distributed version in case when the size of uncertainty array is 256. Moreover, when the size of uncertainty array increases, the results show 60% speed up in the distributed GA compared to its centralized version. The improvements achieved would help the service providers to actually improve their profit using the proposed framework.","author":[{"dropping-particle":"","family":"Al-Turjman","given":"Fadi","non-dropping-particle":"","parse-names":false,"suffix":""},{"dropping-particle":"","family":"Zahmatkesh","given":"Hadi","non-dropping-particle":"","parse-names":false,"suffix":""},{"dropping-particle":"","family":"Mostarda","given":"Leonardo","non-dropping-particle":"","parse-names":false,"suffix":""}],"container-title":"IEEE Access","id":"ITEM-3","issued":{"date-parts":[["2019"]]},"page":"115749-115759","publisher":"IEEE","title":"Quantifying uncertainty in internet of medical things and big-data services using intelligence and deep learning","type":"article-journal","volume":"7"},"uris":["http://www.mendeley.com/documents/?uuid=27937d55-a219-4e6c-b7b7-19799d992b98"]}],"mendeley":{"formattedCitation":"[5]–[7]","plainTextFormattedCitation":"[5]–[7]","previouslyFormattedCitation":"[5]–[7]"},"properties":{"noteIndex":0},"schema":"https://github.com/citation-style-language/schema/raw/master/csl-citation.json"}</w:instrText>
      </w:r>
      <w:r w:rsidRPr="003D6B19">
        <w:fldChar w:fldCharType="separate"/>
      </w:r>
      <w:r w:rsidRPr="003D6B19">
        <w:rPr>
          <w:noProof/>
        </w:rPr>
        <w:t>[5]–[7]</w:t>
      </w:r>
      <w:r w:rsidRPr="003D6B19">
        <w:fldChar w:fldCharType="end"/>
      </w:r>
      <w:r w:rsidRPr="003D6B19">
        <w:rPr>
          <w:lang w:val="id-ID"/>
        </w:rPr>
        <w:t>. The description of the course of research should be supported references, so the explanation can be accepted scientifically</w:t>
      </w:r>
      <w:r w:rsidRPr="003D6B19">
        <w:t xml:space="preserve"> </w:t>
      </w:r>
      <w:r w:rsidRPr="003D6B19">
        <w:fldChar w:fldCharType="begin" w:fldLock="1"/>
      </w:r>
      <w:r w:rsidRPr="003D6B19">
        <w:instrText>ADDIN CSL_CITATION {"citationItems":[{"id":"ITEM-1","itemData":{"DOI":"10.1007/s10462-018-09679-z","ISSN":"15737462","abstract":"The combined impact of new computing resources and techniques with an increasing avalanche of large datasets, is transforming many research areas and may lead to technological breakthroughs that can be used by billions of people. In the recent years, Machine Learning and especially its subfield Deep Learning have seen impressive advances. Techniques developed within these two fields are now able to analyze and learn from huge amounts of real world examples in a disparate formats. While the number of Machine Learning algorithms is extensive and growing, their implementations through frameworks and libraries is also extensive and growing too. The software development in this field is fast paced with a large number of open-source software coming from the academy, industry, start-ups or wider open-source communities. This survey presents a recent time-slide comprehensive overview with comparisons as well as trends in development and usage of cutting-edge Artificial Intelligence software. It also provides an overview of massive parallelism support that is capable of scaling computation effectively and efficiently in the era of Big Data.","author":[{"dropping-particle":"","family":"Nguyen","given":"Giang","non-dropping-particle":"","parse-names":false,"suffix":""},{"dropping-particle":"","family":"Dlugolinsky","given":"Stefan","non-dropping-particle":"","parse-names":false,"suffix":""},{"dropping-particle":"","family":"Bobák","given":"Martin","non-dropping-particle":"","parse-names":false,"suffix":""},{"dropping-particle":"","family":"Tran","given":"Viet","non-dropping-particle":"","parse-names":false,"suffix":""},{"dropping-particle":"","family":"López García","given":"Álvaro","non-dropping-particle":"","parse-names":false,"suffix":""},{"dropping-particle":"","family":"Heredia","given":"Ignacio","non-dropping-particle":"","parse-names":false,"suffix":""},{"dropping-particle":"","family":"Malík","given":"Peter","non-dropping-particle":"","parse-names":false,"suffix":""},{"dropping-particle":"","family":"Hluchý","given":"Ladislav","non-dropping-particle":"","parse-names":false,"suffix":""}],"container-title":"Artificial Intelligence Review","id":"ITEM-1","issue":"1","issued":{"date-parts":[["2019"]]},"page":"77-124","publisher":"Springer Netherlands","title":"Machine Learning and Deep Learning frameworks and libraries for large-scale data mining: a survey","type":"article-journal","volume":"52"},"uris":["http://www.mendeley.com/documents/?uuid=ba6f84de-1264-4176-bb33-d4bd0856084e"]}],"mendeley":{"formattedCitation":"[2]","plainTextFormattedCitation":"[2]","previouslyFormattedCitation":"[2]"},"properties":{"noteIndex":0},"schema":"https://github.com/citation-style-language/schema/raw/master/csl-citation.json"}</w:instrText>
      </w:r>
      <w:r w:rsidRPr="003D6B19">
        <w:fldChar w:fldCharType="separate"/>
      </w:r>
      <w:r w:rsidRPr="003D6B19">
        <w:rPr>
          <w:noProof/>
        </w:rPr>
        <w:t>[2]</w:t>
      </w:r>
      <w:r w:rsidRPr="003D6B19">
        <w:fldChar w:fldCharType="end"/>
      </w:r>
      <w:r w:rsidRPr="003D6B19">
        <w:t xml:space="preserve">, </w:t>
      </w:r>
      <w:r w:rsidRPr="003D6B19">
        <w:fldChar w:fldCharType="begin" w:fldLock="1"/>
      </w:r>
      <w:r w:rsidRPr="003D6B19">
        <w:instrText>ADDIN CSL_CITATION {"citationItems":[{"id":"ITEM-1","itemData":{"DOI":"10.1109/ACCESS.2019.2895334","ISSN":"21693536","abstract":"Machine learning techniques are being widely used to develop an intrusion detection system (IDS) for detecting and classifying cyberattacks at the network-level and the host-level in a timely and automatic manner. However, many challenges arise since malicious attacks are continually changing and are occurring in very large volumes requiring a scalable solution. There are different malware datasets available publicly for further research by cyber security community. However, no existing study has shown the detailed analysis of the performance of various machine learning algorithms on various publicly available datasets. Due to the dynamic nature of malware with continuously changing attacking methods, the malware datasets available publicly are to be updated systematically and benchmarked. In this paper, a deep neural network (DNN), a type of deep learning model, is explored to develop a flexible and effective IDS to detect and classify unforeseen and unpredictable cyberattacks. The continuous change in network behavior and rapid evolution of attacks makes it necessary to evaluate various datasets which are generated over the years through static and dynamic approaches. This type of study facilitates to identify the best algorithm which can effectively work in detecting future cyberattacks. A comprehensive evaluation of experiments of DNNs and other classical machine learning classifiers are shown on various publicly available benchmark malware datasets. The optimal network parameters and network topologies for DNNs are chosen through the following hyperparameter selection methods with KDDCup 99 dataset. All the experiments of DNNs are run till 1,000 epochs with the learning rate varying in the range [0.01-0.5]. The DNN model which performed well on KDDCup 99 is applied on other datasets, such as NSL-KDD, UNSW-NB15, Kyoto, WSN-DS, and CICIDS 2017, to conduct the benchmark. Our DNN model learns the abstract and high-dimensional feature representation of the IDS data by passing them into many hidden layers. Through a rigorous experimental testing, it is confirmed that DNNs perform well in comparison with the classical machine learning classifiers. Finally, we propose a highly scalable and hybrid DNNs framework called scale-hybrid-IDS-AlertNet which can be used in real-time to effectively monitor the network traffic and host-level events to proactively alert possible cyberattacks.","author":[{"dropping-particle":"","family":"Vinayakumar","given":"R.","non-dropping-particle":"","parse-names":false,"suffix":""},{"dropping-particle":"","family":"Alazab","given":"Mamoun","non-dropping-particle":"","parse-names":false,"suffix":""},{"dropping-particle":"","family":"Soman","given":"K. P.","non-dropping-particle":"","parse-names":false,"suffix":""},{"dropping-particle":"","family":"Poornachandran","given":"Prabaharan","non-dropping-particle":"","parse-names":false,"suffix":""},{"dropping-particle":"","family":"Al-Nemrat","given":"Ameer","non-dropping-particle":"","parse-names":false,"suffix":""},{"dropping-particle":"","family":"Venkatraman","given":"Sitalakshmi","non-dropping-particle":"","parse-names":false,"suffix":""}],"container-title":"IEEE Access","id":"ITEM-1","issued":{"date-parts":[["2019"]]},"page":"41525-41550","publisher":"IEEE","title":"Deep Learning Approach for Intelligent Intrusion Detection System","type":"article-journal","volume":"7"},"uris":["http://www.mendeley.com/documents/?uuid=efaca2e8-aaf6-4a9d-b352-b0265f4ce7df"]}],"mendeley":{"formattedCitation":"[4]","plainTextFormattedCitation":"[4]","previouslyFormattedCitation":"[4]"},"properties":{"noteIndex":0},"schema":"https://github.com/citation-style-language/schema/raw/master/csl-citation.json"}</w:instrText>
      </w:r>
      <w:r w:rsidRPr="003D6B19">
        <w:fldChar w:fldCharType="separate"/>
      </w:r>
      <w:r w:rsidRPr="003D6B19">
        <w:rPr>
          <w:noProof/>
        </w:rPr>
        <w:t>[4]</w:t>
      </w:r>
      <w:r w:rsidRPr="003D6B19">
        <w:fldChar w:fldCharType="end"/>
      </w:r>
      <w:r w:rsidRPr="003D6B19">
        <w:rPr>
          <w:lang w:val="id-ID"/>
        </w:rPr>
        <w:t>.</w:t>
      </w:r>
      <w:r w:rsidRPr="003D6B19">
        <w:t xml:space="preserve"> </w:t>
      </w:r>
      <w:r w:rsidRPr="003D6B19">
        <w:rPr>
          <w:lang w:val="id-ID"/>
        </w:rPr>
        <w:t>Figures</w:t>
      </w:r>
      <w:r w:rsidRPr="003D6B19">
        <w:t xml:space="preserve"> 1-2</w:t>
      </w:r>
      <w:r w:rsidRPr="003D6B19">
        <w:rPr>
          <w:lang w:val="id-ID"/>
        </w:rPr>
        <w:t xml:space="preserve"> and</w:t>
      </w:r>
      <w:r w:rsidRPr="003D6B19">
        <w:t xml:space="preserve"> </w:t>
      </w:r>
      <w:r w:rsidRPr="003D6B19">
        <w:rPr>
          <w:lang w:val="id-ID"/>
        </w:rPr>
        <w:t>Table</w:t>
      </w:r>
      <w:r w:rsidRPr="003D6B19">
        <w:t xml:space="preserve"> 1</w:t>
      </w:r>
      <w:r w:rsidRPr="003D6B19">
        <w:rPr>
          <w:lang w:val="id-ID"/>
        </w:rPr>
        <w:t xml:space="preserve"> are presented center, as shown below and cited in the manuscript</w:t>
      </w:r>
      <w:r w:rsidRPr="003D6B19">
        <w:t xml:space="preserve"> </w:t>
      </w:r>
      <w:r w:rsidRPr="003D6B19">
        <w:fldChar w:fldCharType="begin" w:fldLock="1"/>
      </w:r>
      <w:r w:rsidRPr="003D6B19">
        <w:instrText>ADDIN CSL_CITATION {"citationItems":[{"id":"ITEM-1","itemData":{"DOI":"10.35940/ijitee.I3187.0789S319","ISSN":"22783075","abstract":"We present two major information examination strategies for diagnosing the reasons for system disappointments and for identifying system disappointments early. Syslogs contain log information created by the framework. We dissected syslogs what’s more, prevailing with regards to distinguishing the reason for a system disappointment via consequently learning more than 100 million logs without requiring any past learning of log information. Investigation of the information of an interpersonal interaction benefit (in particular, Twitter) empowered us to recognize conceivable system disappointments by extricating system disappointment related tweets, which represent under 1% of all tweets, continuously and with high exactness.","author":[{"dropping-particle":"","family":"Sivaraman","given":"K.","non-dropping-particle":"","parse-names":false,"suffix":""},{"dropping-particle":"","family":"Krishnan","given":"R. Muthu Venkata","non-dropping-particle":"","parse-names":false,"suffix":""},{"dropping-particle":"","family":"Sundarraj","given":"B.","non-dropping-particle":"","parse-names":false,"suffix":""},{"dropping-particle":"","family":"Sri Gowthem","given":"S.","non-dropping-particle":"","parse-names":false,"suffix":""}],"container-title":"International Journal of Innovative Technology and Exploring Engineering","id":"ITEM-1","issue":"9 Special Issue 3","issued":{"date-parts":[["2019"]]},"page":"883-887","title":"Network failure detection and diagnosis by analyzing syslog and SNS data: Applying big data analysis to network operations","type":"article-journal","volume":"8"},"uris":["http://www.mendeley.com/documents/?uuid=1f0f8047-26f4-446e-892e-fee949c83fbb"]}],"mendeley":{"formattedCitation":"[5]","plainTextFormattedCitation":"[5]","previouslyFormattedCitation":"[5]"},"properties":{"noteIndex":0},"schema":"https://github.com/citation-style-language/schema/raw/master/csl-citation.json"}</w:instrText>
      </w:r>
      <w:r w:rsidRPr="003D6B19">
        <w:fldChar w:fldCharType="separate"/>
      </w:r>
      <w:r w:rsidRPr="003D6B19">
        <w:rPr>
          <w:noProof/>
        </w:rPr>
        <w:t>[5]</w:t>
      </w:r>
      <w:r w:rsidRPr="003D6B19">
        <w:fldChar w:fldCharType="end"/>
      </w:r>
      <w:r w:rsidRPr="003D6B19">
        <w:t xml:space="preserve">, </w:t>
      </w:r>
      <w:r w:rsidRPr="003D6B19">
        <w:fldChar w:fldCharType="begin" w:fldLock="1"/>
      </w:r>
      <w:r w:rsidRPr="003D6B19">
        <w:instrText>ADDIN CSL_CITATION {"citationItems":[{"id":"ITEM-1","itemData":{"DOI":"10.26599/BDMA.2018.9020031","ISSN":"20960654","abstract":"In recent years, huge amounts of structured, unstructured, and semi-structured data have been generated by various institutions around the world and, collectively, this heterogeneous data is referred to as big data. The health industry sector has been confronted by the need to manage the big data being produced by various sources, which are well known for producing high volumes of heterogeneous data. Various big-data analytics tools and techniques have been developed for handling these massive amounts of data, in the healthcare sector. In this paper, we discuss the impact of big data in healthcare, and various tools available in the Hadoop ecosystem for handling it. We also explore the conceptual architecture of big data analytics for healthcare which involves the data gathering history of different branches, the genome database, electronic health records, text/imagery, and clinical decisions support system.","author":[{"dropping-particle":"","family":"Kumar","given":"Sunil","non-dropping-particle":"","parse-names":false,"suffix":""},{"dropping-particle":"","family":"Singh","given":"Maninder","non-dropping-particle":"","parse-names":false,"suffix":""}],"container-title":"Big Data Mining and Analytics","id":"ITEM-1","issue":"1","issued":{"date-parts":[["2019"]]},"page":"48-57","title":"Big data analytics for healthcare industry: Impact, applications, and tools","type":"article-journal","volume":"2"},"uris":["http://www.mendeley.com/documents/?uuid=e24c7d88-2f62-40ee-a899-9a607176bd0f"]},{"id":"ITEM-2","itemData":{"DOI":"10.1109/ACCESS.2018.2887076","ISSN":"21693536","abstract":"The Internet of Vehicles (IoV) is a convergence of the mobile Internet and the Internet of Things (IoT), where vehicles function as smart moving intelligent nodes or objects within the sensing network. This paper gives two contributions to the state-of-the-art for IoV technology research. First, we present a comprehensive review of the current and emerging IoV paradigms and communication models with an emphasis on deployment in smart cities. Currently, surveys from many authors have focused concentration on the IoV as only serving applications for intelligent transportation like driver safety, traffic efficiency, and infotainment. This paper presents a more inclusive review of the IoV for also serving the needs of smart cities for large-scale data sensing, collection, information processing, and storage. The second component of the paper presents a new universal architecture for the IoV which can be used for different communication models in smart cities to address the above challenges. It consists of seven layers: vehicle identification layer, object layer, inter-intra devices layer, communication layer, servers and cloud services layer, big data and multimedia computation layer, and application layer. The final part of this paper discusses various challenges and gives some experimental results and insights for future research direction such as the effects of a large and growing number of vehicles and the packet delivery success rate in the dynamic network structure in a smart city scenario.","author":[{"dropping-particle":"","family":"Ang","given":"Li Minn","non-dropping-particle":"","parse-names":false,"suffix":""},{"dropping-particle":"","family":"Seng","given":"Kah Phooi","non-dropping-particle":"","parse-names":false,"suffix":""},{"dropping-particle":"","family":"Ijemaru","given":"Gerald K.","non-dropping-particle":"","parse-names":false,"suffix":""},{"dropping-particle":"","family":"Zungeru","given":"Adamu Murtala","non-dropping-particle":"","parse-names":false,"suffix":""}],"container-title":"IEEE Access","id":"ITEM-2","issued":{"date-parts":[["2019"]]},"page":"6473-6492","publisher":"IEEE","title":"Deployment of IoV for Smart Cities: Applications, Architecture, and Challenges","type":"article-journal","volume":"7"},"uris":["http://www.mendeley.com/documents/?uuid=fa70b4c7-63ae-4de1-a51f-81b90b696725"]},{"id":"ITEM-3","itemData":{"DOI":"10.1016/j.inffus.2019.05.004","ISSN":"15662535","abstract":"The advancement of various research sectors such as Internet of Things (IoT), Machine Learning, Data Mining, Big Data, and Communication Technology has shed some light in transforming an urban city integrating the aforementioned techniques to a commonly known term - Smart City. With the emergence of smart city, plethora of data sources have been made available for wide variety of applications. The common technique for handling multiple data sources is data fusion, where it improves data output quality or extracts knowledge from the raw data. In order to cater evergrowing highly complicated applications, studies in smart city have to utilize data from various sources and evaluate their performance based on multiple aspects. To this end, we introduce a multi-perspectives classification of the data fusion to evaluate the smart city applications. Moreover, we applied the proposed multi-perspectives classification to evaluate selected applications in each domain of the smart city. We conclude the paper by discussing potential future direction and challenges of data fusion integration.","author":[{"dropping-particle":"","family":"Lau","given":"Billy Pik Lik","non-dropping-particle":"","parse-names":false,"suffix":""},{"dropping-particle":"","family":"Marakkalage","given":"Sumudu Hasala","non-dropping-particle":"","parse-names":false,"suffix":""},{"dropping-particle":"","family":"Zhou","given":"Yuren","non-dropping-particle":"","parse-names":false,"suffix":""},{"dropping-particle":"","family":"Hassan","given":"Naveed Ul","non-dropping-particle":"","parse-names":false,"suffix":""},{"dropping-particle":"","family":"Yuen","given":"Chau","non-dropping-particle":"","parse-names":false,"suffix":""},{"dropping-particle":"","family":"Zhang","given":"Meng","non-dropping-particle":"","parse-names":false,"suffix":""},{"dropping-particle":"","family":"Tan","given":"U. Xuan","non-dropping-particle":"","parse-names":false,"suffix":""}],"container-title":"Information Fusion","id":"ITEM-3","issue":"January","issued":{"date-parts":[["2019"]]},"page":"357-374","publisher":"Elsevier B.V.","title":"A survey of data fusion in smart city applications","type":"article-journal","volume":"52"},"uris":["http://www.mendeley.com/documents/?uuid=87772c72-26c7-41e9-9f69-12a7aeb63887"]},{"id":"ITEM-4","itemData":{"DOI":"10.1109/CVPR.2019.00046","ISBN":"9781728132938","ISSN":"10636919","abstract":"Modern machine learning suffers from textit{catastrophic forgetting} when learning new classes incrementally. The performance dramatically degrades due to the missing data of old classes. Incremental learning methods have been proposed to retain the knowledge acquired from the old classes, by using knowledge distilling and keeping a few exemplars from the old classes. However, these methods struggle to textbf{scale up to a large number of classes. We believe this is because of the combination of two factors: (a) the data imbalance between the old and new classes, and (b) the increasing number of visually similar classes. Distinguishing between an increasing number of visually similar classes is particularly challenging, when the training data is unbalanced. We propose a simple and effective method to address this data imbalance issue. We found that the last fully connected layer has a strong bias towards the new classes, and this bias can be corrected by a linear model. With two bias parameters, our method performs remarkably well on two large datasets: ImageNet (1000 classes) and MS-Celeb-1M (10000 classes), outperforming the state-of-the-art algorithms by 11.1% and 13.2% respectively.","author":[{"dropping-particle":"","family":"Wu","given":"Yue","non-dropping-particle":"","parse-names":false,"suffix":""},{"dropping-particle":"","family":"Chen","given":"Yinpeng","non-dropping-particle":"","parse-names":false,"suffix":""},{"dropping-particle":"","family":"Wang","given":"Lijuan","non-dropping-particle":"","parse-names":false,"suffix":""},{"dropping-particle":"","family":"Ye","given":"Yuancheng","non-dropping-particle":"","parse-names":false,"suffix":""},{"dropping-particle":"","family":"Liu","given":"Zicheng","non-dropping-particle":"","parse-names":false,"suffix":""},{"dropping-particle":"","family":"Guo","given":"Yandong","non-dropping-particle":"","parse-names":false,"suffix":""},{"dropping-particle":"","family":"Fu","given":"Yun","non-dropping-particle":"","parse-names":false,"suffix":""}],"container-title":"Proceedings of the IEEE Computer Society Conference on Computer Vision and Pattern Recognition","id":"ITEM-4","issued":{"date-parts":[["2019"]]},"page":"374-382","title":"Large scale incremental learning","type":"article-journal","volume":"2019-June"},"uris":["http://www.mendeley.com/documents/?uuid=5468c463-0a1d-4b77-b214-11c0ba7cd333"]},{"id":"ITEM-5","itemData":{"DOI":"10.1080/19942060.2019.1613448","ISSN":"1997003X","abstract":"The combination of machine learning and numerical methods has recently become popular in the prediction of macroscopic and microscopic hydrodynamics parameters of bubble column reactors. Such numerical combination can develop a smart multiphase bubble column reactor with the ability of low-cost computational time when considering the big data. However, the accuracy of such models should be improved by optimizing the data parameters. This paper uses an adaptive-network-based fuzzy inference system (ANFIS) to train four big data inputs with a novel integration of computational fluid dynamics (CFD) model of gas. The results show that the increasing number of input variables improves the intelligence of the ANFIS method up to R = 0.99, and the number of rules during the learning process has a significant effect on the accuracy of this type of modeling. Furthermore, the proper selection of model’s parameters results in higher accuracy in the prediction of the flow characteristics in the column structure.","author":[{"dropping-particle":"","family":"Mosavi","given":"Amir","non-dropping-particle":"","parse-names":false,"suffix":""},{"dropping-particle":"","family":"Shamshirband","given":"Shahaboddin","non-dropping-particle":"","parse-names":false,"suffix":""},{"dropping-particle":"","family":"Salwana","given":"Ely","non-dropping-particle":"","parse-names":false,"suffix":""},{"dropping-particle":"","family":"Chau","given":"Kwok wing","non-dropping-particle":"","parse-names":false,"suffix":""},{"dropping-particle":"","family":"Tah","given":"Joseph H.M.","non-dropping-particle":"","parse-names":false,"suffix":""}],"container-title":"Engineering Applications of Computational Fluid Mechanics","id":"ITEM-5","issue":"1","issued":{"date-parts":[["2019"]]},"page":"482-492","title":"Prediction of multi-inputs bubble column reactor using a novel hybrid model of computational fluid dynamics and machine learning","type":"article-journal","volume":"13"},"uris":["http://www.mendeley.com/documents/?uuid=ef44706e-b2e4-4015-a1ad-66870d964146"]},{"id":"ITEM-6","itemData":{"DOI":"10.1016/j.jksuci.2017.12.007","ISSN":"22131248","abstract":"The domain of healthcare acquired its influence by the impact of big data since the data sources involved in the healthcare organizations are well-known for their volume, heterogeneous complexity and high dynamism. Though the role of big data analytical techniques, platforms, tools are realized among various domains, their impact on healthcare organization for implementing and delivering novel use-cases for potential healthcare applications shows promising research directions. In the context of big data, the success of healthcare applications solely depends on the underlying architecture and utilization of appropriate tools as evidenced in pioneering research attempts. Novel research works have been carried out for deriving application specific healthcare frameworks that offer diversified data analytical capabilities for handling sources of data ranging from electronic health records to medical images. In this paper, we have presented various analytical avenues that exist in the patient-centric healthcare system from the perspective of various stakeholders. We have also reviewed various big data frameworks with respect to underlying data sources, analytical capability and application areas. In addition, the implication of big data tools in developing healthcare eco system is also presented.","author":[{"dropping-particle":"","family":"Palanisamy","given":"Venketesh","non-dropping-particle":"","parse-names":false,"suffix":""},{"dropping-particle":"","family":"Thirunavukarasu","given":"Ramkumar","non-dropping-particle":"","parse-names":false,"suffix":""}],"container-title":"Journal of King Saud University - Computer and Information Sciences","id":"ITEM-6","issue":"4","issued":{"date-parts":[["2019"]]},"page":"415-425","publisher":"King Saud University","title":"Implications of big data analytics in developing healthcare frameworks – A review","type":"article-journal","volume":"31"},"uris":["http://www.mendeley.com/documents/?uuid=0dc8494f-c0c2-4e38-a3f0-276088b0fab8"]}],"mendeley":{"formattedCitation":"[8]–[13]","plainTextFormattedCitation":"[8]–[13]","previouslyFormattedCitation":"[8]–[13]"},"properties":{"noteIndex":0},"schema":"https://github.com/citation-style-language/schema/raw/master/csl-citation.json"}</w:instrText>
      </w:r>
      <w:r w:rsidRPr="003D6B19">
        <w:fldChar w:fldCharType="separate"/>
      </w:r>
      <w:r w:rsidRPr="003D6B19">
        <w:rPr>
          <w:noProof/>
        </w:rPr>
        <w:t>[8]–[13]</w:t>
      </w:r>
      <w:r w:rsidRPr="003D6B19">
        <w:fldChar w:fldCharType="end"/>
      </w:r>
      <w:r w:rsidRPr="003D6B19">
        <w:rPr>
          <w:lang w:val="id-ID"/>
        </w:rPr>
        <w:t>. Figure 2(a)</w:t>
      </w:r>
      <w:bookmarkStart w:id="14" w:name="_Hlk78529987"/>
      <w:r w:rsidR="007B39E8">
        <w:t xml:space="preserve"> </w:t>
      </w:r>
      <w:r w:rsidR="007B39E8" w:rsidRPr="007B39E8">
        <w:rPr>
          <w:lang w:val="id-ID"/>
        </w:rPr>
        <w:t>indicated that as 0.3≤α≤0.4,  the wind turbine with the rotor velocity control mode can extract more electrical energy than that with the power control mode</w:t>
      </w:r>
      <w:r w:rsidR="007B39E8">
        <w:t xml:space="preserve">. </w:t>
      </w:r>
      <w:r w:rsidRPr="003D6B19">
        <w:rPr>
          <w:lang w:val="id-ID"/>
        </w:rPr>
        <w:t>Figure 2(b)</w:t>
      </w:r>
      <w:r w:rsidR="00BC37CF">
        <w:t xml:space="preserve"> shown</w:t>
      </w:r>
      <w:r w:rsidRPr="003D6B19">
        <w:rPr>
          <w:lang w:val="id-ID"/>
        </w:rPr>
        <w:t xml:space="preserve"> </w:t>
      </w:r>
      <w:bookmarkEnd w:id="14"/>
      <w:r w:rsidR="00C51C74" w:rsidRPr="00C51C74">
        <w:rPr>
          <w:lang w:val="id-ID"/>
        </w:rPr>
        <w:t>the smoothing function reaches to the smallest value as α=0.4</w:t>
      </w:r>
      <w:r w:rsidR="007258FD">
        <w:t xml:space="preserve">. </w:t>
      </w:r>
    </w:p>
    <w:p w14:paraId="1630EC55" w14:textId="77777777" w:rsidR="00354A58" w:rsidRPr="003D6B19" w:rsidRDefault="00354A58" w:rsidP="00354A58">
      <w:pPr>
        <w:rPr>
          <w:b/>
          <w:bCs/>
        </w:rPr>
      </w:pPr>
      <w:bookmarkStart w:id="15" w:name="_Hlk78354375"/>
    </w:p>
    <w:p w14:paraId="6DE72396" w14:textId="77777777" w:rsidR="00354A58" w:rsidRPr="003D6B19" w:rsidRDefault="00354A58" w:rsidP="00354A58">
      <w:pPr>
        <w:rPr>
          <w:b/>
          <w:bCs/>
        </w:rPr>
      </w:pPr>
    </w:p>
    <w:p w14:paraId="574D1FDC" w14:textId="24180B38" w:rsidR="00354A58" w:rsidRPr="003D6B19" w:rsidRDefault="00354A58" w:rsidP="00354A58">
      <w:pPr>
        <w:jc w:val="center"/>
        <w:rPr>
          <w:noProof/>
          <w:lang w:val="id-ID"/>
        </w:rPr>
      </w:pPr>
      <w:r w:rsidRPr="003D6B19">
        <w:rPr>
          <w:noProof/>
        </w:rPr>
        <w:drawing>
          <wp:inline distT="0" distB="0" distL="0" distR="0" wp14:anchorId="2B09132A" wp14:editId="3EC11C6D">
            <wp:extent cx="2847523" cy="2514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4495" cy="2529588"/>
                    </a:xfrm>
                    <a:prstGeom prst="rect">
                      <a:avLst/>
                    </a:prstGeom>
                    <a:noFill/>
                    <a:ln>
                      <a:noFill/>
                    </a:ln>
                  </pic:spPr>
                </pic:pic>
              </a:graphicData>
            </a:graphic>
          </wp:inline>
        </w:drawing>
      </w:r>
    </w:p>
    <w:p w14:paraId="44CC2A31" w14:textId="77777777" w:rsidR="00354A58" w:rsidRPr="00C51C74" w:rsidRDefault="00354A58" w:rsidP="00354A58">
      <w:pPr>
        <w:jc w:val="center"/>
        <w:rPr>
          <w:lang w:val="id-ID"/>
        </w:rPr>
      </w:pPr>
    </w:p>
    <w:p w14:paraId="677B6986" w14:textId="77777777" w:rsidR="00354A58" w:rsidRPr="003D6B19" w:rsidRDefault="00354A58" w:rsidP="00354A58">
      <w:pPr>
        <w:jc w:val="center"/>
        <w:rPr>
          <w:b/>
          <w:bCs/>
        </w:rPr>
      </w:pPr>
      <w:r w:rsidRPr="003D6B19">
        <w:rPr>
          <w:lang w:val="id-ID"/>
        </w:rPr>
        <w:t xml:space="preserve">Figure 1. </w:t>
      </w:r>
      <w:r w:rsidRPr="003D6B19">
        <w:t>Effects of selecting different switching under dynamic condition</w:t>
      </w:r>
    </w:p>
    <w:p w14:paraId="048C1DB7" w14:textId="099FA4CE" w:rsidR="00354A58" w:rsidRDefault="00354A58" w:rsidP="00354A58">
      <w:pPr>
        <w:jc w:val="center"/>
        <w:rPr>
          <w:b/>
          <w:bCs/>
        </w:rPr>
      </w:pPr>
    </w:p>
    <w:p w14:paraId="4C8239F1" w14:textId="3AF5BADA" w:rsidR="009E742D" w:rsidRDefault="009E742D" w:rsidP="00354A58">
      <w:pPr>
        <w:jc w:val="center"/>
        <w:rPr>
          <w:b/>
          <w:bCs/>
        </w:rPr>
      </w:pPr>
    </w:p>
    <w:p w14:paraId="36B0904A" w14:textId="77777777" w:rsidR="009E742D" w:rsidRPr="003D6B19" w:rsidRDefault="009E742D" w:rsidP="009E742D">
      <w:pPr>
        <w:jc w:val="center"/>
        <w:rPr>
          <w:lang w:val="id-ID"/>
        </w:rPr>
      </w:pPr>
      <w:r w:rsidRPr="003D6B19">
        <w:rPr>
          <w:lang w:val="id-ID"/>
        </w:rPr>
        <w:t xml:space="preserve">Table 1. The </w:t>
      </w:r>
      <w:r w:rsidRPr="003D6B19">
        <w:t>p</w:t>
      </w:r>
      <w:r w:rsidRPr="003D6B19">
        <w:rPr>
          <w:lang w:val="id-ID"/>
        </w:rPr>
        <w:t>erformance of ...</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9E742D" w:rsidRPr="003D6B19" w14:paraId="7A8A43EB" w14:textId="77777777" w:rsidTr="004F5FF9">
        <w:trPr>
          <w:jc w:val="center"/>
        </w:trPr>
        <w:tc>
          <w:tcPr>
            <w:tcW w:w="1124" w:type="dxa"/>
            <w:tcBorders>
              <w:top w:val="single" w:sz="4" w:space="0" w:color="auto"/>
              <w:bottom w:val="single" w:sz="4" w:space="0" w:color="auto"/>
            </w:tcBorders>
          </w:tcPr>
          <w:p w14:paraId="2E9C30B1" w14:textId="77777777" w:rsidR="009E742D" w:rsidRPr="003D6B19" w:rsidRDefault="009E742D" w:rsidP="004F5FF9">
            <w:pPr>
              <w:jc w:val="center"/>
              <w:rPr>
                <w:sz w:val="16"/>
                <w:szCs w:val="16"/>
                <w:lang w:val="id-ID"/>
              </w:rPr>
            </w:pPr>
            <w:r w:rsidRPr="003D6B19">
              <w:rPr>
                <w:sz w:val="16"/>
                <w:szCs w:val="16"/>
                <w:lang w:val="id-ID"/>
              </w:rPr>
              <w:t>Variable</w:t>
            </w:r>
          </w:p>
        </w:tc>
        <w:tc>
          <w:tcPr>
            <w:tcW w:w="1358" w:type="dxa"/>
            <w:tcBorders>
              <w:top w:val="single" w:sz="4" w:space="0" w:color="auto"/>
              <w:bottom w:val="single" w:sz="4" w:space="0" w:color="auto"/>
            </w:tcBorders>
          </w:tcPr>
          <w:p w14:paraId="3904B431" w14:textId="77777777" w:rsidR="009E742D" w:rsidRPr="003D6B19" w:rsidRDefault="009E742D" w:rsidP="004F5FF9">
            <w:pPr>
              <w:jc w:val="center"/>
              <w:rPr>
                <w:sz w:val="16"/>
                <w:szCs w:val="16"/>
              </w:rPr>
            </w:pPr>
            <w:r w:rsidRPr="003D6B19">
              <w:rPr>
                <w:sz w:val="16"/>
                <w:szCs w:val="16"/>
                <w:lang w:val="id-ID"/>
              </w:rPr>
              <w:t>Speed</w:t>
            </w:r>
            <w:r w:rsidRPr="003D6B19">
              <w:rPr>
                <w:sz w:val="16"/>
                <w:szCs w:val="16"/>
              </w:rPr>
              <w:t xml:space="preserve"> (rpm)</w:t>
            </w:r>
          </w:p>
        </w:tc>
        <w:tc>
          <w:tcPr>
            <w:tcW w:w="1350" w:type="dxa"/>
            <w:tcBorders>
              <w:top w:val="single" w:sz="4" w:space="0" w:color="auto"/>
              <w:bottom w:val="single" w:sz="4" w:space="0" w:color="auto"/>
            </w:tcBorders>
          </w:tcPr>
          <w:p w14:paraId="048196FE" w14:textId="77777777" w:rsidR="009E742D" w:rsidRPr="003D6B19" w:rsidRDefault="009E742D" w:rsidP="004F5FF9">
            <w:pPr>
              <w:jc w:val="center"/>
              <w:rPr>
                <w:sz w:val="16"/>
                <w:szCs w:val="16"/>
              </w:rPr>
            </w:pPr>
            <w:r w:rsidRPr="003D6B19">
              <w:rPr>
                <w:sz w:val="16"/>
                <w:szCs w:val="16"/>
                <w:lang w:val="id-ID"/>
              </w:rPr>
              <w:t>Power</w:t>
            </w:r>
            <w:r w:rsidRPr="003D6B19">
              <w:rPr>
                <w:sz w:val="16"/>
                <w:szCs w:val="16"/>
              </w:rPr>
              <w:t xml:space="preserve"> (kW)</w:t>
            </w:r>
          </w:p>
        </w:tc>
      </w:tr>
      <w:tr w:rsidR="009E742D" w:rsidRPr="003D6B19" w14:paraId="12270C31" w14:textId="77777777" w:rsidTr="004F5FF9">
        <w:trPr>
          <w:jc w:val="center"/>
        </w:trPr>
        <w:tc>
          <w:tcPr>
            <w:tcW w:w="1124" w:type="dxa"/>
            <w:tcBorders>
              <w:top w:val="single" w:sz="4" w:space="0" w:color="auto"/>
            </w:tcBorders>
          </w:tcPr>
          <w:p w14:paraId="255C90AC" w14:textId="77777777" w:rsidR="009E742D" w:rsidRPr="003D6B19" w:rsidRDefault="009E742D" w:rsidP="004F5FF9">
            <w:pPr>
              <w:jc w:val="center"/>
              <w:rPr>
                <w:sz w:val="16"/>
                <w:szCs w:val="16"/>
              </w:rPr>
            </w:pPr>
            <w:r w:rsidRPr="003D6B19">
              <w:rPr>
                <w:sz w:val="16"/>
                <w:szCs w:val="16"/>
              </w:rPr>
              <w:t>x</w:t>
            </w:r>
          </w:p>
        </w:tc>
        <w:tc>
          <w:tcPr>
            <w:tcW w:w="1358" w:type="dxa"/>
            <w:tcBorders>
              <w:top w:val="single" w:sz="4" w:space="0" w:color="auto"/>
            </w:tcBorders>
          </w:tcPr>
          <w:p w14:paraId="6B26EB87" w14:textId="77777777" w:rsidR="009E742D" w:rsidRPr="003D6B19" w:rsidRDefault="009E742D" w:rsidP="004F5FF9">
            <w:pPr>
              <w:jc w:val="center"/>
              <w:rPr>
                <w:sz w:val="16"/>
                <w:szCs w:val="16"/>
              </w:rPr>
            </w:pPr>
            <w:r w:rsidRPr="003D6B19">
              <w:rPr>
                <w:sz w:val="16"/>
                <w:szCs w:val="16"/>
              </w:rPr>
              <w:t>10</w:t>
            </w:r>
          </w:p>
        </w:tc>
        <w:tc>
          <w:tcPr>
            <w:tcW w:w="1350" w:type="dxa"/>
            <w:tcBorders>
              <w:top w:val="single" w:sz="4" w:space="0" w:color="auto"/>
            </w:tcBorders>
          </w:tcPr>
          <w:p w14:paraId="4F267A1A" w14:textId="77777777" w:rsidR="009E742D" w:rsidRPr="003D6B19" w:rsidRDefault="009E742D" w:rsidP="004F5FF9">
            <w:pPr>
              <w:ind w:right="280"/>
              <w:jc w:val="right"/>
              <w:rPr>
                <w:sz w:val="16"/>
                <w:szCs w:val="16"/>
              </w:rPr>
            </w:pPr>
            <w:r w:rsidRPr="003D6B19">
              <w:rPr>
                <w:sz w:val="16"/>
                <w:szCs w:val="16"/>
              </w:rPr>
              <w:t>8.6</w:t>
            </w:r>
          </w:p>
        </w:tc>
      </w:tr>
      <w:tr w:rsidR="009E742D" w:rsidRPr="003D6B19" w14:paraId="0D177527" w14:textId="77777777" w:rsidTr="004F5FF9">
        <w:trPr>
          <w:jc w:val="center"/>
        </w:trPr>
        <w:tc>
          <w:tcPr>
            <w:tcW w:w="1124" w:type="dxa"/>
          </w:tcPr>
          <w:p w14:paraId="7F0B77FB" w14:textId="77777777" w:rsidR="009E742D" w:rsidRPr="003D6B19" w:rsidRDefault="009E742D" w:rsidP="004F5FF9">
            <w:pPr>
              <w:jc w:val="center"/>
              <w:rPr>
                <w:sz w:val="16"/>
                <w:szCs w:val="16"/>
              </w:rPr>
            </w:pPr>
            <w:r w:rsidRPr="003D6B19">
              <w:rPr>
                <w:sz w:val="16"/>
                <w:szCs w:val="16"/>
              </w:rPr>
              <w:t>y</w:t>
            </w:r>
          </w:p>
        </w:tc>
        <w:tc>
          <w:tcPr>
            <w:tcW w:w="1358" w:type="dxa"/>
          </w:tcPr>
          <w:p w14:paraId="7606E39F" w14:textId="77777777" w:rsidR="009E742D" w:rsidRPr="003D6B19" w:rsidRDefault="009E742D" w:rsidP="004F5FF9">
            <w:pPr>
              <w:jc w:val="center"/>
              <w:rPr>
                <w:sz w:val="16"/>
                <w:szCs w:val="16"/>
              </w:rPr>
            </w:pPr>
            <w:r w:rsidRPr="003D6B19">
              <w:rPr>
                <w:sz w:val="16"/>
                <w:szCs w:val="16"/>
              </w:rPr>
              <w:t>15</w:t>
            </w:r>
          </w:p>
        </w:tc>
        <w:tc>
          <w:tcPr>
            <w:tcW w:w="1350" w:type="dxa"/>
          </w:tcPr>
          <w:p w14:paraId="01574C51" w14:textId="77777777" w:rsidR="009E742D" w:rsidRPr="003D6B19" w:rsidRDefault="009E742D" w:rsidP="004F5FF9">
            <w:pPr>
              <w:ind w:right="280"/>
              <w:jc w:val="right"/>
              <w:rPr>
                <w:sz w:val="16"/>
                <w:szCs w:val="16"/>
              </w:rPr>
            </w:pPr>
            <w:r w:rsidRPr="003D6B19">
              <w:rPr>
                <w:sz w:val="16"/>
                <w:szCs w:val="16"/>
              </w:rPr>
              <w:t>12.4</w:t>
            </w:r>
          </w:p>
        </w:tc>
      </w:tr>
      <w:tr w:rsidR="009E742D" w:rsidRPr="003D6B19" w14:paraId="1E273983" w14:textId="77777777" w:rsidTr="004F5FF9">
        <w:trPr>
          <w:jc w:val="center"/>
        </w:trPr>
        <w:tc>
          <w:tcPr>
            <w:tcW w:w="1124" w:type="dxa"/>
            <w:tcBorders>
              <w:bottom w:val="single" w:sz="4" w:space="0" w:color="auto"/>
            </w:tcBorders>
          </w:tcPr>
          <w:p w14:paraId="57F615B6" w14:textId="77777777" w:rsidR="009E742D" w:rsidRPr="003D6B19" w:rsidRDefault="009E742D" w:rsidP="004F5FF9">
            <w:pPr>
              <w:jc w:val="center"/>
              <w:rPr>
                <w:sz w:val="16"/>
                <w:szCs w:val="16"/>
              </w:rPr>
            </w:pPr>
            <w:r w:rsidRPr="003D6B19">
              <w:rPr>
                <w:sz w:val="16"/>
                <w:szCs w:val="16"/>
              </w:rPr>
              <w:t>z</w:t>
            </w:r>
          </w:p>
        </w:tc>
        <w:tc>
          <w:tcPr>
            <w:tcW w:w="1358" w:type="dxa"/>
            <w:tcBorders>
              <w:bottom w:val="single" w:sz="4" w:space="0" w:color="auto"/>
            </w:tcBorders>
          </w:tcPr>
          <w:p w14:paraId="16ABC378" w14:textId="77777777" w:rsidR="009E742D" w:rsidRPr="003D6B19" w:rsidRDefault="009E742D" w:rsidP="004F5FF9">
            <w:pPr>
              <w:jc w:val="center"/>
              <w:rPr>
                <w:sz w:val="16"/>
                <w:szCs w:val="16"/>
              </w:rPr>
            </w:pPr>
            <w:r w:rsidRPr="003D6B19">
              <w:rPr>
                <w:sz w:val="16"/>
                <w:szCs w:val="16"/>
              </w:rPr>
              <w:t>20</w:t>
            </w:r>
          </w:p>
        </w:tc>
        <w:tc>
          <w:tcPr>
            <w:tcW w:w="1350" w:type="dxa"/>
            <w:tcBorders>
              <w:bottom w:val="single" w:sz="4" w:space="0" w:color="auto"/>
            </w:tcBorders>
          </w:tcPr>
          <w:p w14:paraId="56769461" w14:textId="77777777" w:rsidR="009E742D" w:rsidRPr="003D6B19" w:rsidRDefault="009E742D" w:rsidP="004F5FF9">
            <w:pPr>
              <w:ind w:right="280"/>
              <w:jc w:val="right"/>
              <w:rPr>
                <w:sz w:val="16"/>
                <w:szCs w:val="16"/>
              </w:rPr>
            </w:pPr>
            <w:r w:rsidRPr="003D6B19">
              <w:rPr>
                <w:sz w:val="16"/>
                <w:szCs w:val="16"/>
              </w:rPr>
              <w:t>15.3</w:t>
            </w:r>
          </w:p>
        </w:tc>
      </w:tr>
    </w:tbl>
    <w:bookmarkEnd w:id="12"/>
    <w:bookmarkEnd w:id="15"/>
    <w:p w14:paraId="7D5D4C0D" w14:textId="5C8147F2" w:rsidR="00705B09" w:rsidRDefault="00705B09" w:rsidP="00705B09">
      <w:pPr>
        <w:tabs>
          <w:tab w:val="left" w:pos="426"/>
        </w:tabs>
        <w:jc w:val="center"/>
        <w:rPr>
          <w:b/>
          <w:bCs/>
          <w:lang w:val="id-ID"/>
        </w:rPr>
      </w:pPr>
      <w:r>
        <w:rPr>
          <w:noProof/>
        </w:rPr>
        <w:lastRenderedPageBreak/>
        <w:drawing>
          <wp:inline distT="0" distB="0" distL="0" distR="0" wp14:anchorId="38D2DEC5" wp14:editId="13B867A6">
            <wp:extent cx="3276600" cy="13194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03747" cy="1330366"/>
                    </a:xfrm>
                    <a:prstGeom prst="rect">
                      <a:avLst/>
                    </a:prstGeom>
                    <a:noFill/>
                    <a:ln>
                      <a:noFill/>
                    </a:ln>
                  </pic:spPr>
                </pic:pic>
              </a:graphicData>
            </a:graphic>
          </wp:inline>
        </w:drawing>
      </w:r>
    </w:p>
    <w:p w14:paraId="66B1EE12" w14:textId="4837A9A6" w:rsidR="00705B09" w:rsidRPr="00705B09" w:rsidRDefault="00705B09" w:rsidP="00705B09">
      <w:pPr>
        <w:tabs>
          <w:tab w:val="left" w:pos="426"/>
        </w:tabs>
        <w:jc w:val="center"/>
      </w:pPr>
      <w:r w:rsidRPr="00705B09">
        <w:t>(a)</w:t>
      </w:r>
    </w:p>
    <w:p w14:paraId="1A742358" w14:textId="747C98DE" w:rsidR="00705B09" w:rsidRDefault="00705B09" w:rsidP="00705B09">
      <w:pPr>
        <w:tabs>
          <w:tab w:val="left" w:pos="426"/>
        </w:tabs>
        <w:jc w:val="center"/>
        <w:rPr>
          <w:b/>
          <w:bCs/>
        </w:rPr>
      </w:pPr>
    </w:p>
    <w:p w14:paraId="6B017BCD" w14:textId="7677E45D" w:rsidR="00705B09" w:rsidRDefault="00705B09" w:rsidP="00705B09">
      <w:pPr>
        <w:tabs>
          <w:tab w:val="left" w:pos="426"/>
        </w:tabs>
        <w:jc w:val="center"/>
        <w:rPr>
          <w:b/>
          <w:bCs/>
        </w:rPr>
      </w:pPr>
      <w:r>
        <w:rPr>
          <w:noProof/>
        </w:rPr>
        <w:drawing>
          <wp:inline distT="0" distB="0" distL="0" distR="0" wp14:anchorId="7F84F54B" wp14:editId="52A49131">
            <wp:extent cx="2952750" cy="1178727"/>
            <wp:effectExtent l="0" t="0" r="0" b="254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61867" cy="1182367"/>
                    </a:xfrm>
                    <a:prstGeom prst="rect">
                      <a:avLst/>
                    </a:prstGeom>
                    <a:noFill/>
                    <a:ln>
                      <a:noFill/>
                    </a:ln>
                  </pic:spPr>
                </pic:pic>
              </a:graphicData>
            </a:graphic>
          </wp:inline>
        </w:drawing>
      </w:r>
    </w:p>
    <w:p w14:paraId="7080B380" w14:textId="167DBC24" w:rsidR="00705B09" w:rsidRDefault="00705B09" w:rsidP="00705B09">
      <w:pPr>
        <w:tabs>
          <w:tab w:val="left" w:pos="426"/>
        </w:tabs>
        <w:jc w:val="center"/>
      </w:pPr>
      <w:r w:rsidRPr="00705B09">
        <w:t>(b)</w:t>
      </w:r>
    </w:p>
    <w:p w14:paraId="70A77017" w14:textId="62841957" w:rsidR="00705B09" w:rsidRDefault="00705B09" w:rsidP="00705B09">
      <w:pPr>
        <w:tabs>
          <w:tab w:val="left" w:pos="426"/>
        </w:tabs>
        <w:jc w:val="center"/>
      </w:pPr>
    </w:p>
    <w:p w14:paraId="00CD0988" w14:textId="54368E7C" w:rsidR="00705B09" w:rsidRPr="00705B09" w:rsidRDefault="00705B09" w:rsidP="00705B09">
      <w:pPr>
        <w:tabs>
          <w:tab w:val="left" w:pos="426"/>
        </w:tabs>
        <w:jc w:val="center"/>
      </w:pPr>
      <w:r w:rsidRPr="002A276C">
        <w:rPr>
          <w:lang w:val="id-ID"/>
        </w:rPr>
        <w:t>Figure 2.</w:t>
      </w:r>
      <w:r w:rsidRPr="009128F9">
        <w:t xml:space="preserve"> Comparing simulation results in wind turbine performance with the power control mode to that with the rotor speed control mode</w:t>
      </w:r>
      <w:r>
        <w:t xml:space="preserve"> in</w:t>
      </w:r>
      <w:r w:rsidRPr="009128F9">
        <w:t xml:space="preserve"> (a) </w:t>
      </w:r>
      <w:bookmarkStart w:id="16" w:name="_Hlk83028848"/>
      <w:r w:rsidRPr="009128F9">
        <w:t>energy output</w:t>
      </w:r>
      <w:bookmarkEnd w:id="16"/>
      <w:r>
        <w:t xml:space="preserve"> and </w:t>
      </w:r>
      <w:r w:rsidRPr="009128F9">
        <w:t>(b) smoothing function</w:t>
      </w:r>
    </w:p>
    <w:p w14:paraId="14C18176" w14:textId="77777777" w:rsidR="00705B09" w:rsidRPr="003D6B19" w:rsidRDefault="00705B09" w:rsidP="00705B09">
      <w:pPr>
        <w:tabs>
          <w:tab w:val="left" w:pos="426"/>
        </w:tabs>
        <w:jc w:val="center"/>
        <w:rPr>
          <w:b/>
          <w:bCs/>
          <w:lang w:val="id-ID"/>
        </w:rPr>
      </w:pPr>
    </w:p>
    <w:p w14:paraId="345D055F" w14:textId="77777777" w:rsidR="00354A58" w:rsidRPr="003D6B19" w:rsidRDefault="00354A58" w:rsidP="00354A58">
      <w:pPr>
        <w:jc w:val="center"/>
        <w:rPr>
          <w:lang w:val="id-ID"/>
        </w:rPr>
      </w:pPr>
    </w:p>
    <w:bookmarkEnd w:id="13"/>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132A1978" w:rsidR="00E619D6" w:rsidRPr="003D6B19"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t>the reader understand easily</w:t>
      </w:r>
      <w:r w:rsidR="00354A58" w:rsidRPr="003D6B19">
        <w:t xml:space="preserve"> </w:t>
      </w:r>
      <w:r w:rsidR="00354A58" w:rsidRPr="003D6B19">
        <w:fldChar w:fldCharType="begin" w:fldLock="1"/>
      </w:r>
      <w:r w:rsidR="00354A58" w:rsidRPr="003D6B19">
        <w:instrText>ADDIN CSL_CITATION {"citationItems":[{"id":"ITEM-1","itemData":{"DOI":"10.1177/2053951718820549","ISSN":"20539517","abstract":"The collection and circulation of data is now a central element of increasingly more sectors of contemporary capitalism. This article analyses data as a form of capital that is distinct from, but has its roots in, economic capital. Data collection is driven by the perpetual cycle of capital accumulation, which in turn drives capital to construct and rely upon a universe in which everything is made of data. The imperative to capture all data, from all sources, by any means possible influences many key decisions about business models, political governance, and technological development. This article argues that many common practices of data accumulation should actually be understood in terms of data extraction, wherein data is taken with little regard for consent and compensation. By understanding data as a form capital, we can better analyse the meaning, practices, and implications of datafication as a political economic regime.","author":[{"dropping-particle":"","family":"Sadowski","given":"Jathan","non-dropping-particle":"","parse-names":false,"suffix":""}],"container-title":"Big Data and Society","id":"ITEM-1","issue":"1","issued":{"date-parts":[["2019"]]},"page":"1-12","title":"When data is capital: Datafication, accumulation, and extraction","type":"article-journal","volume":"6"},"uris":["http://www.mendeley.com/documents/?uuid=68c1212d-4bd1-42ff-b4ea-3108c9b096d6"]},{"id":"ITEM-2","itemData":{"DOI":"10.1109/ACCESS.2019.2905301","ISSN":"21693536","abstract":"Although large amounts of data are now available to companies, mere possession of these data is not sufficient, and for better business decisions, it is necessary to perform thorough data analysis. Nowadays, social networks services (SNS) have become important data sources. The rapid growth of SNS has led to their wide use in various research trends in social sciences. In this paper, we aim to enhance the current understanding of the possibilities offered by social data for brand communication analysis in the financial sector. To this end, a traditional methodology and a digital methodology are used to investigate the brand image of the financial entities. The traditional methodology is the Periodic Evaluation of the Image (PEI). The digital methodology is sentiment analysis, a machine learning technique for big data analytics in social sciences using an algorithm developed in Python. The data are analyzed using both methodologies, and then, their results are compared. The findings suggest that while the results obtained using the method based on big data are consistent with the results obtained with the traditional methodology, the former method allows for easier and faster data analysis. The limitations of this paper relate to the size of the sample, the studied sector, and the scope of the reviewed literature.","author":[{"dropping-particle":"","family":"Saura","given":"Jose Ramon","non-dropping-particle":"","parse-names":false,"suffix":""},{"dropping-particle":"","family":"Herraez","given":"Beatriz Rodriguez","non-dropping-particle":"","parse-names":false,"suffix":""},{"dropping-particle":"","family":"Reyes-Menendez","given":"Ana","non-dropping-particle":"","parse-names":false,"suffix":""}],"container-title":"IEEE Access","id":"ITEM-2","issued":{"date-parts":[["2019"]]},"page":"37100-37108","title":"Comparing a traditional approach for financial brand communication analysis with a big data analytics technique","type":"article-journal","volume":"7"},"uris":["http://www.mendeley.com/documents/?uuid=90933663-e9f5-408f-bea9-1e10797ad61d"]}],"mendeley":{"formattedCitation":"[14], [15]","plainTextFormattedCitation":"[14], [15]","previouslyFormattedCitation":"[14], [15]"},"properties":{"noteIndex":0},"schema":"https://github.com/citation-style-language/schema/raw/master/csl-citation.json"}</w:instrText>
      </w:r>
      <w:r w:rsidR="00354A58" w:rsidRPr="003D6B19">
        <w:fldChar w:fldCharType="separate"/>
      </w:r>
      <w:r w:rsidR="00354A58" w:rsidRPr="003D6B19">
        <w:rPr>
          <w:noProof/>
        </w:rPr>
        <w:t>[14], [15]</w:t>
      </w:r>
      <w:r w:rsidR="00354A58" w:rsidRPr="003D6B19">
        <w:fldChar w:fldCharType="end"/>
      </w:r>
      <w:r w:rsidR="00354A58" w:rsidRPr="003D6B19">
        <w:rPr>
          <w:lang w:val="id-ID"/>
        </w:rPr>
        <w:t xml:space="preserve">. The discussion can be made in several </w:t>
      </w:r>
      <w:bookmarkStart w:id="17" w:name="_Hlk78354443"/>
      <w:r w:rsidR="00354A58" w:rsidRPr="003D6B19">
        <w:rPr>
          <w:lang w:val="id-ID"/>
        </w:rPr>
        <w:t>sub-</w:t>
      </w:r>
      <w:r w:rsidR="00354A58" w:rsidRPr="003D6B19">
        <w:t>sections</w:t>
      </w:r>
      <w:r w:rsidR="00354A58" w:rsidRPr="003D6B19">
        <w:rPr>
          <w:lang w:val="id-ID"/>
        </w:rPr>
        <w:t>.</w:t>
      </w:r>
      <w:bookmarkEnd w:id="17"/>
    </w:p>
    <w:p w14:paraId="6BC6C798" w14:textId="77777777" w:rsidR="00E619D6" w:rsidRPr="003D6B19" w:rsidRDefault="00E619D6"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18"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19" w:name="_Hlk79141485"/>
    </w:p>
    <w:p w14:paraId="473C0DBC" w14:textId="77777777" w:rsidR="00E619D6" w:rsidRPr="003D6B19" w:rsidRDefault="00E619D6" w:rsidP="00E619D6">
      <w:pPr>
        <w:rPr>
          <w:bCs/>
          <w:lang w:val="id-ID"/>
        </w:rPr>
      </w:pPr>
    </w:p>
    <w:p w14:paraId="6A8C919A" w14:textId="0F6A48CC" w:rsidR="004F4003" w:rsidRPr="004F4003" w:rsidRDefault="00C71D59"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18"/>
    <w:bookmarkEnd w:id="19"/>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3153B9E6" w14:textId="4BE1B980" w:rsidR="00E619D6" w:rsidRPr="003D6B19" w:rsidRDefault="00E619D6" w:rsidP="00E619D6">
      <w:pPr>
        <w:ind w:firstLine="709"/>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in </w:t>
      </w:r>
      <w:r w:rsidRPr="003D6B19">
        <w:rPr>
          <w:bCs/>
          <w:lang w:val="id-ID"/>
        </w:rPr>
        <w:fldChar w:fldCharType="begin" w:fldLock="1"/>
      </w:r>
      <w:r w:rsidRPr="003D6B19">
        <w:rPr>
          <w:bCs/>
          <w:lang w:val="id-ID"/>
        </w:rPr>
        <w:instrText>ADDIN CSL_CITATION {"citationItems":[{"id":"ITEM-1","itemData":{"DOI":"10.1109/TITS.2019.2924883","ISSN":"15580016","abstract":"The technological landscape of intelligent transport systems (ITS) has been radically transformed by the emergence of the big data streams generated by the Internet of Things (IoT), smart sensors, surveillance feeds, social media, as well as growing infrastructure needs. It is timely and pertinent that ITS harness the potential of an artificial intelligence (AI) to develop the big data-driven smart traffic management solutions for effective decision-making. The existing AI techniques that function in isolation exhibit clear limitations in developing a comprehensive platform due to the dynamicity of big data streams, high-frequency unlabeled data generation from the heterogeneous data sources, and volatility of traffic conditions. In this paper, we propose an expansive smart traffic management platform (STMP) based on the unsupervised online incremental machine learning, deep learning, and deep reinforcement learning to address these limitations. The STMP integrates the heterogeneous big data streams, such as the IoT, smart sensors, and social media, to detect concept drifts, distinguish between the recurrent and non-recurrent traffic events, and impact propagation, traffic flow forecasting, commuter sentiment analysis, and optimized traffic control decisions. The platform is successfully demonstrated on 190 million records of smart sensor network traffic data generated by 545,851 commuters and corresponding social media data on the arterial road network of Victoria, Australia.","author":[{"dropping-particle":"","family":"Nallaperuma","given":"Dinithi","non-dropping-particle":"","parse-names":false,"suffix":""},{"dropping-particle":"","family":"Nawaratne","given":"Rashmika","non-dropping-particle":"","parse-names":false,"suffix":""},{"dropping-particle":"","family":"Bandaragoda","given":"Tharindu","non-dropping-particle":"","parse-names":false,"suffix":""},{"dropping-particle":"","family":"Adikari","given":"Achini","non-dropping-particle":"","parse-names":false,"suffix":""},{"dropping-particle":"","family":"Nguyen","given":"Su","non-dropping-particle":"","parse-names":false,"suffix":""},{"dropping-particle":"","family":"Kempitiya","given":"Thimal","non-dropping-particle":"","parse-names":false,"suffix":""},{"dropping-particle":"","family":"Silva","given":"Daswin","non-dropping-particle":"De","parse-names":false,"suffix":""},{"dropping-particle":"","family":"Alahakoon","given":"Damminda","non-dropping-particle":"","parse-names":false,"suffix":""},{"dropping-particle":"","family":"Pothuhera","given":"Dakshan","non-dropping-particle":"","parse-names":false,"suffix":""}],"container-title":"IEEE Transactions on Intelligent Transportation Systems","id":"ITEM-1","issue":"12","issued":{"date-parts":[["2019"]]},"page":"4679-4690","publisher":"IEEE","title":"Online Incremental Machine Learning Platform for Big Data-Driven Smart Traffic Management","type":"article-journal","volume":"20"},"uris":["http://www.mendeley.com/documents/?uuid=84011880-07e5-4d16-88ef-4a381d84498a"]}],"mendeley":{"formattedCitation":"[16]","plainTextFormattedCitation":"[16]","previouslyFormattedCitation":"[16]"},"properties":{"noteIndex":0},"schema":"https://github.com/citation-style-language/schema/raw/master/csl-citation.json"}</w:instrText>
      </w:r>
      <w:r w:rsidRPr="003D6B19">
        <w:rPr>
          <w:bCs/>
          <w:lang w:val="id-ID"/>
        </w:rPr>
        <w:fldChar w:fldCharType="separate"/>
      </w:r>
      <w:r w:rsidRPr="003D6B19">
        <w:rPr>
          <w:bCs/>
          <w:noProof/>
          <w:lang w:val="id-ID"/>
        </w:rPr>
        <w:t>[16]</w:t>
      </w:r>
      <w:r w:rsidRPr="003D6B19">
        <w:rPr>
          <w:bCs/>
          <w:lang w:val="id-ID"/>
        </w:rPr>
        <w:fldChar w:fldCharType="end"/>
      </w:r>
      <w:r w:rsidRPr="003D6B19">
        <w:rPr>
          <w:bCs/>
          <w:lang w:val="id-ID"/>
        </w:rPr>
        <w:t xml:space="preserve"> or </w:t>
      </w:r>
      <w:r w:rsidRPr="003D6B19">
        <w:rPr>
          <w:bCs/>
          <w:lang w:val="id-ID"/>
        </w:rPr>
        <w:fldChar w:fldCharType="begin" w:fldLock="1"/>
      </w:r>
      <w:r w:rsidRPr="003D6B19">
        <w:rPr>
          <w:bCs/>
          <w:lang w:val="id-ID"/>
        </w:rPr>
        <w:instrText>ADDIN CSL_CITATION {"citationItems":[{"id":"ITEM-1","itemData":{"DOI":"10.1016/j.copbio.2018.08.003","ISSN":"18790429","PMID":"30153614","abstract":"Matrix-assisted laser desorption/ionization mass spectrometry imaging (MALDI MSI) has emerged as a key technology for label-free bioanalysis of the spatial distribution of biomolecules, pharmaceuticals and other xenobiotics in tissue sections. Recent advances in instrumentation, sample preparation, multimodal workflows, quantification, analytical standardization and ‘big data’ processing have led to widespread utilization of MALDI MSI in pharmaceutical research. These developments have led to applications of the technology in drug discovery beyond drug disposition analysis, most notably in pharmacodynamic biomarker research and in toxicology.","author":[{"dropping-particle":"","family":"Schulz","given":"Sandra","non-dropping-particle":"","parse-names":false,"suffix":""},{"dropping-particle":"","family":"Becker","given":"Michael","non-dropping-particle":"","parse-names":false,"suffix":""},{"dropping-particle":"","family":"Groseclose","given":"M. Reid","non-dropping-particle":"","parse-names":false,"suffix":""},{"dropping-particle":"","family":"Schadt","given":"Simone","non-dropping-particle":"","parse-names":false,"suffix":""},{"dropping-particle":"","family":"Hopf","given":"Carsten","non-dropping-particle":"","parse-names":false,"suffix":""}],"container-title":"Current Opinion in Biotechnology","id":"ITEM-1","issued":{"date-parts":[["2019"]]},"page":"51-59","publisher":"Elsevier Ltd","title":"Advanced MALDI mass spectrometry imaging in pharmaceutical research and drug development","type":"article-journal","volume":"55"},"uris":["http://www.mendeley.com/documents/?uuid=f5fe6c7e-85a6-44bf-a354-44af2e50ead0"]}],"mendeley":{"formattedCitation":"[17]","plainTextFormattedCitation":"[17]","previouslyFormattedCitation":"[17]"},"properties":{"noteIndex":0},"schema":"https://github.com/citation-style-language/schema/raw/master/csl-citation.json"}</w:instrText>
      </w:r>
      <w:r w:rsidRPr="003D6B19">
        <w:rPr>
          <w:bCs/>
          <w:lang w:val="id-ID"/>
        </w:rPr>
        <w:fldChar w:fldCharType="separate"/>
      </w:r>
      <w:r w:rsidRPr="003D6B19">
        <w:rPr>
          <w:bCs/>
          <w:noProof/>
          <w:lang w:val="id-ID"/>
        </w:rPr>
        <w:t>[17]</w:t>
      </w:r>
      <w:r w:rsidRPr="003D6B19">
        <w:rPr>
          <w:bCs/>
          <w:lang w:val="id-ID"/>
        </w:rPr>
        <w:fldChar w:fldCharType="end"/>
      </w:r>
      <w:r w:rsidRPr="003D6B19">
        <w:rPr>
          <w:bCs/>
        </w:rPr>
        <w:t xml:space="preserve"> </w:t>
      </w:r>
      <w:r w:rsidRPr="003D6B19">
        <w:rPr>
          <w:bCs/>
          <w:lang w:val="id-ID"/>
        </w:rPr>
        <w:t xml:space="preserve">for multiple references. The use of ”Ref </w:t>
      </w:r>
      <w:r w:rsidRPr="003D6B19">
        <w:rPr>
          <w:bCs/>
          <w:lang w:val="id-ID"/>
        </w:rPr>
        <w:fldChar w:fldCharType="begin" w:fldLock="1"/>
      </w:r>
      <w:r w:rsidRPr="003D6B19">
        <w:rPr>
          <w:bCs/>
          <w:lang w:val="id-ID"/>
        </w:rPr>
        <w:instrText>ADDIN CSL_CITATION {"citationItems":[{"id":"ITEM-1","itemData":{"DOI":"10.1016/j.eng.2019.01.019","ISSN":"20958099","abstract":"Safe, efficient, and sustainable operations and control are primary objectives in industrial manufacturing processes. State-of-the-art technologies heavily rely on human intervention, thereby showing apparent limitations in practice. The burgeoning era of big data is influencing the process industries tremendously, providing unprecedented opportunities to achieve smart manufacturing. This kind of manufacturing requires machines to not only be capable of relieving humans from intensive physical work, but also be effective in taking on intellectual labor and even producing innovations on their own. To attain this goal, data analytics and machine learning are indispensable. In this paper, we review recent advances in data analytics and machine learning applied to the monitoring, control, and optimization of industrial processes, paying particular attention to the interpretability and functionality of machine learning models. By analyzing the gap between practical requirements and the current research status, promising future research directions are identified.","author":[{"dropping-particle":"","family":"Shang","given":"Chao","non-dropping-particle":"","parse-names":false,"suffix":""},{"dropping-particle":"","family":"You","given":"Fengqi","non-dropping-particle":"","parse-names":false,"suffix":""}],"container-title":"Engineering","id":"ITEM-1","issue":"6","issued":{"date-parts":[["2019"]]},"page":"1010-1016","publisher":"Chinese Academy of Engineering","title":"Data Analytics and Machine Learning for Smart Process Manufacturing: Recent Advances and Perspectives in the Big Data Era","type":"article-journal","volume":"5"},"uris":["http://www.mendeley.com/documents/?uuid=72265640-48e8-4ec5-a62b-19b132377a67"]}],"mendeley":{"formattedCitation":"[18]","plainTextFormattedCitation":"[18]","previouslyFormattedCitation":"[18]"},"properties":{"noteIndex":0},"schema":"https://github.com/citation-style-language/schema/raw/master/csl-citation.json"}</w:instrText>
      </w:r>
      <w:r w:rsidRPr="003D6B19">
        <w:rPr>
          <w:bCs/>
          <w:lang w:val="id-ID"/>
        </w:rPr>
        <w:fldChar w:fldCharType="separate"/>
      </w:r>
      <w:r w:rsidRPr="003D6B19">
        <w:rPr>
          <w:bCs/>
          <w:noProof/>
          <w:lang w:val="id-ID"/>
        </w:rPr>
        <w:t>[18]</w:t>
      </w:r>
      <w:r w:rsidRPr="003D6B19">
        <w:rPr>
          <w:bCs/>
          <w:lang w:val="id-ID"/>
        </w:rPr>
        <w:fldChar w:fldCharType="end"/>
      </w:r>
      <w:r w:rsidRPr="003D6B19">
        <w:rPr>
          <w:bCs/>
          <w:lang w:val="id-ID"/>
        </w:rPr>
        <w:t>...”</w:t>
      </w:r>
      <w:r w:rsidRPr="003D6B19">
        <w:rPr>
          <w:bCs/>
        </w:rPr>
        <w:t xml:space="preserve"> </w:t>
      </w:r>
      <w:r w:rsidRPr="003D6B19">
        <w:rPr>
          <w:bCs/>
          <w:lang w:val="id-ID"/>
        </w:rPr>
        <w:t>should be employed for any reference citation at the beginning of sentence. For any reference with more than</w:t>
      </w:r>
      <w:r w:rsidRPr="003D6B19">
        <w:rPr>
          <w:bCs/>
        </w:rPr>
        <w:t xml:space="preserve"> </w:t>
      </w:r>
      <w:r w:rsidRPr="003D6B19">
        <w:rPr>
          <w:bCs/>
          <w:lang w:val="id-ID"/>
        </w:rPr>
        <w:t xml:space="preserve">3 or more authors, only the first author is to be written followed by </w:t>
      </w:r>
      <w:r w:rsidRPr="003D6B19">
        <w:rPr>
          <w:bCs/>
          <w:i/>
          <w:iCs/>
          <w:lang w:val="id-ID"/>
        </w:rPr>
        <w:t>et al</w:t>
      </w:r>
      <w:r w:rsidRPr="003D6B19">
        <w:rPr>
          <w:bCs/>
        </w:rPr>
        <w:t>.</w:t>
      </w:r>
      <w:r w:rsidRPr="003D6B19">
        <w:rPr>
          <w:bCs/>
          <w:lang w:val="id-ID"/>
        </w:rPr>
        <w:t xml:space="preserve"> (e.g. in </w:t>
      </w:r>
      <w:r w:rsidRPr="003D6B19">
        <w:rPr>
          <w:bCs/>
          <w:lang w:val="id-ID"/>
        </w:rPr>
        <w:fldChar w:fldCharType="begin" w:fldLock="1"/>
      </w:r>
      <w:r w:rsidRPr="003D6B19">
        <w:rPr>
          <w:bCs/>
          <w:lang w:val="id-ID"/>
        </w:rPr>
        <w:instrText>ADDIN CSL_CITATION {"citationItems":[{"id":"ITEM-1","itemData":{"DOI":"10.26599/BDMA.2019.9020007","ISSN":"20960654","abstract":"The explosion of digital healthcare data has led to a surge of data-driven medical research based on machine learning. In recent years, as a powerful technique for big data, deep learning has gained a central position in machine learning circles for its great advantages in feature representation and pattern recognition. This article presents a comprehensive overview of studies that employ deep learning methods to deal with clinical data. Firstly, based on the analysis of the characteristics of clinical data, various types of clinical data (e.g., medical images, clinical notes, lab results, vital signs, and demographic informatics) are discussed and details provided of some public clinical datasets. Secondly, a brief review of common deep learning models and their characteristics is conducted. Then, considering the wide range of clinical research and the diversity of data types, several deep learning applications for clinical data are illustrated: auxiliary diagnosis, prognosis, early warning, and other tasks. Although there are challenges involved in applying deep learning techniques to clinical data, it is still worthwhile to look forward to a promising future for deep learning applications in clinical big data in the direction of precision medicine.","author":[{"dropping-particle":"","family":"Yu","given":"Ying","non-dropping-particle":"","parse-names":false,"suffix":""},{"dropping-particle":"","family":"Li","given":"Min","non-dropping-particle":"","parse-names":false,"suffix":""},{"dropping-particle":"","family":"Liu","given":"Liangliang","non-dropping-particle":"","parse-names":false,"suffix":""},{"dropping-particle":"","family":"Li","given":"Yaohang","non-dropping-particle":"","parse-names":false,"suffix":""},{"dropping-particle":"","family":"Wang","given":"Jianxin","non-dropping-particle":"","parse-names":false,"suffix":""}],"container-title":"Big Data Mining and Analytics","id":"ITEM-1","issue":"4","issued":{"date-parts":[["2019"]]},"page":"288-305","title":"Clinical big data and deep learning: Applications, challenges, and future outlooks","type":"article-journal","volume":"2"},"uris":["http://www.mendeley.com/documents/?uuid=dc530d84-ac5a-4515-9d73-9b7787b32589"]}],"mendeley":{"formattedCitation":"[19]","plainTextFormattedCitation":"[19]","previouslyFormattedCitation":"[19]"},"properties":{"noteIndex":0},"schema":"https://github.com/citation-style-language/schema/raw/master/csl-citation.json"}</w:instrText>
      </w:r>
      <w:r w:rsidRPr="003D6B19">
        <w:rPr>
          <w:bCs/>
          <w:lang w:val="id-ID"/>
        </w:rPr>
        <w:fldChar w:fldCharType="separate"/>
      </w:r>
      <w:r w:rsidRPr="003D6B19">
        <w:rPr>
          <w:bCs/>
          <w:noProof/>
          <w:lang w:val="id-ID"/>
        </w:rPr>
        <w:t>[19]</w:t>
      </w:r>
      <w:r w:rsidRPr="003D6B19">
        <w:rPr>
          <w:bCs/>
          <w:lang w:val="id-ID"/>
        </w:rPr>
        <w:fldChar w:fldCharType="end"/>
      </w:r>
      <w:r w:rsidRPr="003D6B19">
        <w:rPr>
          <w:bCs/>
          <w:lang w:val="id-ID"/>
        </w:rPr>
        <w:t>). Examples of reference</w:t>
      </w:r>
      <w:r w:rsidRPr="003D6B19">
        <w:rPr>
          <w:bCs/>
        </w:rPr>
        <w:t xml:space="preserve"> </w:t>
      </w:r>
      <w:r w:rsidRPr="003D6B19">
        <w:rPr>
          <w:bCs/>
          <w:lang w:val="id-ID"/>
        </w:rPr>
        <w:t xml:space="preserve">items of different categories shown in the References section. </w:t>
      </w:r>
      <w:r w:rsidRPr="00735BBC">
        <w:rPr>
          <w:bCs/>
          <w:lang w:val="id-ID"/>
        </w:rPr>
        <w:t>Each item in</w:t>
      </w:r>
      <w:r w:rsidRPr="003D6B19">
        <w:rPr>
          <w:bCs/>
          <w:lang w:val="id-ID"/>
        </w:rPr>
        <w:t xml:space="preserve"> the references section should be</w:t>
      </w:r>
      <w:r w:rsidRPr="003D6B19">
        <w:rPr>
          <w:bCs/>
        </w:rPr>
        <w:t xml:space="preserve"> </w:t>
      </w:r>
      <w:r w:rsidRPr="003D6B19">
        <w:rPr>
          <w:bCs/>
          <w:lang w:val="id-ID"/>
        </w:rPr>
        <w:t xml:space="preserve">typed using </w:t>
      </w:r>
      <w:r w:rsidR="00D57774">
        <w:rPr>
          <w:bCs/>
        </w:rPr>
        <w:t>8</w:t>
      </w:r>
      <w:r w:rsidRPr="003D6B19">
        <w:rPr>
          <w:bCs/>
        </w:rPr>
        <w:t xml:space="preserve"> </w:t>
      </w:r>
      <w:r w:rsidRPr="003D6B19">
        <w:rPr>
          <w:bCs/>
          <w:lang w:val="id-ID"/>
        </w:rPr>
        <w:t>pt font size</w:t>
      </w:r>
      <w:r w:rsidRPr="003D6B19">
        <w:rPr>
          <w:bCs/>
        </w:rPr>
        <w:t xml:space="preserve"> </w:t>
      </w:r>
      <w:r w:rsidRPr="003D6B19">
        <w:rPr>
          <w:bCs/>
        </w:rPr>
        <w:fldChar w:fldCharType="begin" w:fldLock="1"/>
      </w:r>
      <w:r w:rsidRPr="003D6B19">
        <w:rPr>
          <w:bCs/>
        </w:rPr>
        <w:instrText>ADDIN CSL_CITATION {"citationItems":[{"id":"ITEM-1","itemData":{"DOI":"10.1109/ACCESS.2019.2899402","ISSN":"21693536","abstract":"In services-oriented computing networks, packets in the process of routing to a data center must wait for a sufficient amount of data before service aggregation to reduce the network transmission load. However, packets must be uploaded to the data center as soon as possible to reduce delay. With the exponential growth in the number of IoT connected devices, the wait time for packets is longer at routers due to massive amounts of data, which causes a large queuing delay. If this queuing time can be utilized for service aggregation in a service-oriented computing network, the network performance will be substantially improved. Therefore, a queuing delay utilization scheme for on-path service aggregation (SAQD) is proposed in this paper. This scheme has the following innovations: 1) SAQD fully utilizes the queuing delay of packets for service aggregation, which can effectively reduce the transmission volume and communication overhead. Based on the proposed service aggregation algorithm, packets are divided into forwarding packets and aggregating packets, and the service aggregation of aggregating packets is completed by utilizing the transmission time of forwarding packets to ensure that the transmission volume and communication overhead are effectively reduced without additional latency. 2) SAQD can effectively alleviate the traffic pressure of the data center and balance the workload of routers. By the service aggregation and intranet cache of routers, some requests for the data center can be handled by routers, which reduces the traffic pressure of the data center, especially in the peak period. Compared with conventional schemes, the experimental results demonstrate that SAQD reduces the workload of the data center by 55.8%-66.26% and provides users with a better quality of experience by reducing the request response delay by 31.33%51.41%.","author":[{"dropping-particle":"","family":"Huang","given":"Mingfeng","non-dropping-particle":"","parse-names":false,"suffix":""},{"dropping-particle":"","family":"Liu","given":"Wei","non-dropping-particle":"","parse-names":false,"suffix":""},{"dropping-particle":"","family":"Wang","given":"Tian","non-dropping-particle":"","parse-names":false,"suffix":""},{"dropping-particle":"","family":"Song","given":"Houbing","non-dropping-particle":"","parse-names":false,"suffix":""},{"dropping-particle":"","family":"Li","given":"Xiong","non-dropping-particle":"","parse-names":false,"suffix":""},{"dropping-particle":"","family":"Liu","given":"Anfeng","non-dropping-particle":"","parse-names":false,"suffix":""}],"container-title":"IEEE Access","id":"ITEM-1","issued":{"date-parts":[["2019"]]},"page":"23816-23833","publisher":"IEEE","title":"A queuing delay utilization scheme for on-path service aggregation in services-oriented computing networks","type":"article-journal","volume":"7"},"uris":["http://www.mendeley.com/documents/?uuid=1af4668e-cf37-4e48-aaac-7170d7a8cea1"]},{"id":"ITEM-2","itemData":{"DOI":"10.3390/s19071711","ISSN":"14248220","PMID":"30974791","abstract":"Marine environment monitoring has attracted more and more attention due to the growing concern about climate change. During the past couple of decades, advanced information and communication technologies have been applied to the development of various marine environment monitoring systems. Among others, the Internet of Things (IoT) has been playing an important role in this area. This paper presents a review of the application of the Internet of Things in the field of marine environment monitoring. New technologies including advanced Big Data analytics and their applications in this area are briefly reviewed. It also discusses key research challenges and opportunities in this area, including the potential application of IoT and Big Data in marine environment protection.","author":[{"dropping-particle":"","family":"Xu","given":"Guobao","non-dropping-particle":"","parse-names":false,"suffix":""},{"dropping-particle":"","family":"Shi","given":"Yanjun","non-dropping-particle":"","parse-names":false,"suffix":""},{"dropping-particle":"","family":"Sun","given":"Xueyan","non-dropping-particle":"","parse-names":false,"suffix":""},{"dropping-particle":"","family":"Shen","given":"Weiming","non-dropping-particle":"","parse-names":false,"suffix":""}],"container-title":"Sensors (Switzerland)","id":"ITEM-2","issue":"7","issued":{"date-parts":[["2019"]]},"page":"1-21","title":"Internet of things in marine environment monitoring: A review","type":"article-journal","volume":"19"},"uris":["http://www.mendeley.com/documents/?uuid=4a9417a8-a2e7-4b45-9210-a4a912c84db7"]},{"id":"ITEM-3","itemData":{"DOI":"10.3390/s19092206","ISBN":"9665370693","ISSN":"14248220","PMID":"31086055","abstract":"Road transportation is the backbone of modern economies, albeit it annually costs 1.25 million deaths and trillions of dollars to the global economy, and damages public health and the environment. Deep learning is among the leading-edge methods used for transportation-related predictions, however, the existing works are in their infancy, and fall short in multiple respects, including the use of datasets with limited sizes and scopes, and insufficient depth of the deep learning studies. This paper provides a novel and comprehensive approach toward large-scale, faster, and real-time traffic prediction by bringing four complementary cutting-edge technologies together: Big data, deep learning, in-memory computing, and Graphics Processing Units (GPUs). We trained deep networks using over 11 years of data provided by the California Department of Transportation (Caltrans), the largest dataset that has been used in deep learning studies. Several combinations of the input attributes of the data along with various network configurations of the deep learning models were investigated for training and prediction purposes. The use of the pre-trained model for real-time prediction was explored. The paper contributes novel deep learning models, algorithms, implementation, analytics methodology, and software tool for smart cities, big data, high performance computing, and their convergence.","author":[{"dropping-particle":"","family":"Aqib","given":"Muhammad","non-dropping-particle":"","parse-names":false,"suffix":""},{"dropping-particle":"","family":"Mehmood","given":"Rashid","non-dropping-particle":"","parse-names":false,"suffix":""},{"dropping-particle":"","family":"Alzahrani","given":"Ahmed","non-dropping-particle":"","parse-names":false,"suffix":""},{"dropping-particle":"","family":"Katib","given":"Iyad","non-dropping-particle":"","parse-names":false,"suffix":""},{"dropping-particle":"","family":"Albeshri","given":"Aiiad","non-dropping-particle":"","parse-names":false,"suffix":""},{"dropping-particle":"","family":"Altowaijri","given":"Saleh M.","non-dropping-particle":"","parse-names":false,"suffix":""}],"container-title":"Sensors (Switzerland)","id":"ITEM-3","issue":"9","issued":{"date-parts":[["2019"]]},"number-of-pages":"1-34","title":"Smarter traffic prediction using big data, in-memory computing, deep learning and gpus","type":"book","volume":"19"},"uris":["http://www.mendeley.com/documents/?uuid=9c01dc08-28f9-4055-acc8-bddbf4c80c7a"]},{"id":"ITEM-4","itemData":{"abstract":"This groundbreaking, open access volume analyses and compares data practices across several fields through the analysis of specific cases of data journeys. It brings together leading scholars in the philosophy, history and social studies of science to achieve two goals: tracking the travel of data across different spaces, times and domains of research practice; and documenting how such journeys affect the use of data as evidence and the knowledge being produced. The volume captures the opportunities, challenges and concerns involved in making data move from the sites in which they are originally produced to sites where they can be integrated with other data, analysed and re-used for a variety of purposes. The in-depth study of data journeys provides the necessary ground to examine disciplinary, geographical and historical differences and similarities in data management, processing and interpretation, thus identifying the key conditions of possibility for the widespread data sharing associated with Big and Open Data. The chapters are ordered in sections that broadly correspond to different stages of the journeys of data, from their generation to the legitimisation of their use for specific purposes. Additionally, the preface to the volume provides a variety of alternative “roadmaps” aimed to serve the different interests and entry points of readers; and the introduction provides a substantive overview of what data journeys can teach about the methods and epistemology of research.","author":[{"dropping-particle":"","family":"Leonelli","given":"Sabina","non-dropping-particle":"","parse-names":false,"suffix":""},{"dropping-particle":"","family":"Tempini","given":"Niccolò","non-dropping-particle":"","parse-names":false,"suffix":""}],"id":"ITEM-4","issued":{"date-parts":[["2020"]]},"number-of-pages":"27-44","title":"Data Journeys in the Sciences","type":"book"},"uris":["http://www.mendeley.com/documents/?uuid=9f5cf8f4-5c83-4c60-96e6-53325754ac4d"]},{"id":"ITEM-5","itemData":{"author":[{"dropping-particle":"","family":"Stylos","given":"Nikolaos","non-dropping-particle":"","parse-names":false,"suffix":""},{"dropping-particle":"","family":"Zwiegelaar","given":"Jeremy","non-dropping-particle":"","parse-names":false,"suffix":""}],"id":"ITEM-5","issued":{"date-parts":[["2019"]]},"number-of-pages":"163-181","title":"Big Data as a Game Changer: How Does It Shape Business Intelligence Within a Tourism and Hospitality Industry Context?","type":"book"},"uris":["http://www.mendeley.com/documents/?uuid=6e4f0ab0-a592-4a04-a0ed-5d33ecdd2e1c"]},{"id":"ITEM-6","itemData":{"ISSN":"23318422","abstract":"Tensor completion is a problem of filling the missing or unobserved entries of partially observed tensors. Due to the multidimensional character of tensors in describing complex datasets, tensor completion algorithms and their applications have received wide attention and achievement in areas like data mining, computer vision, signal processing, and neuroscience. In this survey, we provide a modern overview of recent advances in tensor completion algorithms from the perspective of big data analytics characterized by diverse variety, large volume, and high velocity. We characterize these advances from four perspectives: general tensor completion algorithms, tensor completion with auxiliary information (variety), scalable tensor completion algorithms (volume), and dynamic tensor completion algorithms (velocity). Further, we identify several tensor completion applications on real-world data-driven problems and present some common experimental frameworks popularized in the literature. Our goal is to summarize these popular methods and introduce them to researchers and practitioners for promoting future research and applications. We conclude with a discussion of key challenges and promising research directions in this community for future exploration.","author":[{"dropping-particle":"","family":"Song","given":"Qingquan","non-dropping-particle":"","parse-names":false,"suffix":""},{"dropping-particle":"","family":"Ge","given":"Hancheng","non-dropping-particle":"","parse-names":false,"suffix":""},{"dropping-particle":"","family":"Caverlee","given":"James","non-dropping-particle":"","parse-names":false,"suffix":""},{"dropping-particle":"","family":"Hu","given":"Xia","non-dropping-particle":"","parse-names":false,"suffix":""}],"container-title":"arXiv","id":"ITEM-6","issue":"1","issued":{"date-parts":[["2017"]]},"title":"Tensor completion algorithms in big data analytics","type":"article-journal","volume":"13"},"uris":["http://www.mendeley.com/documents/?uuid=27a05a45-94b5-4818-b3eb-005b6528df75"]}],"mendeley":{"formattedCitation":"[20]–[25]","plainTextFormattedCitation":"[20]–[25]"},"properties":{"noteIndex":0},"schema":"https://github.com/citation-style-language/schema/raw/master/csl-citation.json"}</w:instrText>
      </w:r>
      <w:r w:rsidRPr="003D6B19">
        <w:rPr>
          <w:bCs/>
        </w:rPr>
        <w:fldChar w:fldCharType="separate"/>
      </w:r>
      <w:r w:rsidRPr="003D6B19">
        <w:rPr>
          <w:bCs/>
          <w:noProof/>
        </w:rPr>
        <w:t>[20]–[25]</w:t>
      </w:r>
      <w:r w:rsidRPr="003D6B19">
        <w:rPr>
          <w:bCs/>
        </w:rPr>
        <w:fldChar w:fldCharType="end"/>
      </w:r>
      <w:r w:rsidRPr="003D6B19">
        <w:rPr>
          <w:bCs/>
          <w:lang w:val="id-ID"/>
        </w:rPr>
        <w:t>.</w:t>
      </w:r>
    </w:p>
    <w:p w14:paraId="740F6FB0" w14:textId="77777777" w:rsidR="00E619D6" w:rsidRPr="003D6B19" w:rsidRDefault="00E619D6" w:rsidP="00E619D6">
      <w:pPr>
        <w:ind w:firstLine="720"/>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58602C39"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w:t>
      </w:r>
      <w:r w:rsidR="00A12DD9">
        <w:t>s</w:t>
      </w:r>
      <w:r w:rsidR="00354A58" w:rsidRPr="003D6B19">
        <w:rPr>
          <w:lang w:val="id-ID"/>
        </w:rPr>
        <w:t xml:space="preserve"> and discussion).</w:t>
      </w: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lastRenderedPageBreak/>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20" w:name="_Hlk78354940"/>
      <w:r w:rsidRPr="00735BBC">
        <w:t>Author</w:t>
      </w:r>
      <w:r w:rsidRPr="00E94443">
        <w:t xml:space="preserve"> thanks </w:t>
      </w:r>
      <w:proofErr w:type="gramStart"/>
      <w:r w:rsidRPr="00E94443">
        <w:t xml:space="preserve">... </w:t>
      </w:r>
      <w:r>
        <w:t>.</w:t>
      </w:r>
      <w:proofErr w:type="gramEnd"/>
      <w:r w:rsidRPr="00E94443">
        <w:t xml:space="preserve"> In most cases, sponsor and financial support acknowledgments</w:t>
      </w:r>
      <w:r>
        <w:t>.</w:t>
      </w:r>
    </w:p>
    <w:bookmarkEnd w:id="20"/>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34F6BFAF" w14:textId="207F0D99" w:rsidR="00354A58" w:rsidRPr="00223324" w:rsidRDefault="00354A58" w:rsidP="00354A58">
      <w:pPr>
        <w:ind w:firstLine="720"/>
        <w:jc w:val="both"/>
        <w:rPr>
          <w:sz w:val="16"/>
          <w:szCs w:val="16"/>
        </w:rPr>
      </w:pPr>
      <w:bookmarkStart w:id="21" w:name="_Hlk78354957"/>
      <w:bookmarkStart w:id="22" w:name="_Hlk80021798"/>
      <w:r w:rsidRPr="00223324">
        <w:rPr>
          <w:color w:val="000000"/>
          <w:sz w:val="16"/>
          <w:szCs w:val="16"/>
        </w:rPr>
        <w:t xml:space="preserve">The main references are </w:t>
      </w:r>
      <w:r w:rsidRPr="00223324">
        <w:rPr>
          <w:sz w:val="16"/>
          <w:szCs w:val="16"/>
        </w:rPr>
        <w:t>international</w:t>
      </w:r>
      <w:r w:rsidRPr="00223324">
        <w:rPr>
          <w:color w:val="000000"/>
          <w:sz w:val="16"/>
          <w:szCs w:val="16"/>
        </w:rPr>
        <w:t xml:space="preserve"> journals and proceedings. All references should be to the most pertinent, up-to-date sources </w:t>
      </w:r>
      <w:r w:rsidRPr="00223324">
        <w:rPr>
          <w:b/>
          <w:bCs/>
          <w:color w:val="000000"/>
          <w:sz w:val="16"/>
          <w:szCs w:val="16"/>
        </w:rPr>
        <w:t xml:space="preserve">and the </w:t>
      </w:r>
      <w:r w:rsidRPr="00223324">
        <w:rPr>
          <w:b/>
          <w:bCs/>
          <w:sz w:val="16"/>
          <w:szCs w:val="16"/>
        </w:rPr>
        <w:t xml:space="preserve">minimum of references </w:t>
      </w:r>
      <w:r w:rsidRPr="00223324">
        <w:rPr>
          <w:sz w:val="16"/>
          <w:szCs w:val="16"/>
        </w:rPr>
        <w:t xml:space="preserve">are </w:t>
      </w:r>
      <w:r w:rsidRPr="00223324">
        <w:rPr>
          <w:b/>
          <w:bCs/>
          <w:sz w:val="16"/>
          <w:szCs w:val="16"/>
        </w:rPr>
        <w:t xml:space="preserve">25 entries </w:t>
      </w:r>
      <w:r w:rsidRPr="00223324">
        <w:rPr>
          <w:sz w:val="16"/>
          <w:szCs w:val="16"/>
        </w:rPr>
        <w:t>(for original research paper)</w:t>
      </w:r>
      <w:r w:rsidRPr="00223324">
        <w:rPr>
          <w:b/>
          <w:bCs/>
          <w:sz w:val="16"/>
          <w:szCs w:val="16"/>
        </w:rPr>
        <w:t xml:space="preserve"> </w:t>
      </w:r>
      <w:r w:rsidRPr="00223324">
        <w:rPr>
          <w:sz w:val="16"/>
          <w:szCs w:val="16"/>
        </w:rPr>
        <w:t xml:space="preserve">and </w:t>
      </w:r>
      <w:r w:rsidRPr="00223324">
        <w:rPr>
          <w:b/>
          <w:bCs/>
          <w:sz w:val="16"/>
          <w:szCs w:val="16"/>
        </w:rPr>
        <w:t xml:space="preserve">50 entries </w:t>
      </w:r>
      <w:r w:rsidRPr="00223324">
        <w:rPr>
          <w:sz w:val="16"/>
          <w:szCs w:val="16"/>
        </w:rPr>
        <w:t>(for review</w:t>
      </w:r>
      <w:r w:rsidR="00F902B7" w:rsidRPr="00223324">
        <w:rPr>
          <w:sz w:val="16"/>
          <w:szCs w:val="16"/>
        </w:rPr>
        <w:t>/survey</w:t>
      </w:r>
      <w:r w:rsidRPr="00223324">
        <w:rPr>
          <w:sz w:val="16"/>
          <w:szCs w:val="16"/>
        </w:rPr>
        <w:t xml:space="preserve"> paper). References are written in </w:t>
      </w:r>
      <w:r w:rsidRPr="00223324">
        <w:rPr>
          <w:b/>
          <w:bCs/>
          <w:sz w:val="16"/>
          <w:szCs w:val="16"/>
        </w:rPr>
        <w:t>IEEE style</w:t>
      </w:r>
      <w:r w:rsidRPr="00223324">
        <w:rPr>
          <w:sz w:val="16"/>
          <w:szCs w:val="16"/>
        </w:rPr>
        <w:t xml:space="preserve">. For more complete guide can be accessed at (http://ipmuonline.com/guide/refstyle.pdf). Use of a tool such as </w:t>
      </w:r>
      <w:r w:rsidRPr="00223324">
        <w:rPr>
          <w:b/>
          <w:bCs/>
          <w:sz w:val="16"/>
          <w:szCs w:val="16"/>
        </w:rPr>
        <w:t>EndNote</w:t>
      </w:r>
      <w:r w:rsidRPr="00223324">
        <w:rPr>
          <w:sz w:val="16"/>
          <w:szCs w:val="16"/>
        </w:rPr>
        <w:t xml:space="preserve">, </w:t>
      </w:r>
      <w:r w:rsidRPr="00223324">
        <w:rPr>
          <w:b/>
          <w:bCs/>
          <w:sz w:val="16"/>
          <w:szCs w:val="16"/>
        </w:rPr>
        <w:t>Mendeley</w:t>
      </w:r>
      <w:r w:rsidRPr="00223324">
        <w:rPr>
          <w:sz w:val="16"/>
          <w:szCs w:val="16"/>
        </w:rPr>
        <w:t xml:space="preserve">, or </w:t>
      </w:r>
      <w:r w:rsidRPr="00223324">
        <w:rPr>
          <w:b/>
          <w:bCs/>
          <w:sz w:val="16"/>
          <w:szCs w:val="16"/>
        </w:rPr>
        <w:t>Zotero</w:t>
      </w:r>
      <w:r w:rsidRPr="00223324">
        <w:rPr>
          <w:sz w:val="16"/>
          <w:szCs w:val="16"/>
        </w:rPr>
        <w:t xml:space="preserve"> for reference management and formatting, and choose </w:t>
      </w:r>
      <w:r w:rsidRPr="00223324">
        <w:rPr>
          <w:b/>
          <w:bCs/>
          <w:sz w:val="16"/>
          <w:szCs w:val="16"/>
        </w:rPr>
        <w:t>IEEE style</w:t>
      </w:r>
      <w:r w:rsidRPr="00223324">
        <w:rPr>
          <w:sz w:val="16"/>
          <w:szCs w:val="16"/>
        </w:rPr>
        <w:t xml:space="preserve">. </w:t>
      </w:r>
      <w:r w:rsidRPr="00223324">
        <w:rPr>
          <w:iCs/>
          <w:sz w:val="16"/>
          <w:szCs w:val="16"/>
        </w:rPr>
        <w:t>Please use</w:t>
      </w:r>
      <w:r w:rsidRPr="00223324">
        <w:rPr>
          <w:sz w:val="16"/>
          <w:szCs w:val="16"/>
        </w:rPr>
        <w:t xml:space="preserve"> a consistent format for </w:t>
      </w:r>
      <w:r w:rsidRPr="00223324">
        <w:rPr>
          <w:iCs/>
          <w:sz w:val="16"/>
          <w:szCs w:val="16"/>
        </w:rPr>
        <w:t>references-</w:t>
      </w:r>
      <w:r w:rsidRPr="00223324">
        <w:rPr>
          <w:sz w:val="16"/>
          <w:szCs w:val="16"/>
        </w:rPr>
        <w:t>see examples (</w:t>
      </w:r>
      <w:r w:rsidR="00F902B7" w:rsidRPr="00223324">
        <w:rPr>
          <w:sz w:val="16"/>
          <w:szCs w:val="16"/>
        </w:rPr>
        <w:t>8</w:t>
      </w:r>
      <w:r w:rsidRPr="00223324">
        <w:rPr>
          <w:sz w:val="16"/>
          <w:szCs w:val="16"/>
        </w:rPr>
        <w:t xml:space="preserve"> </w:t>
      </w:r>
      <w:proofErr w:type="spellStart"/>
      <w:r w:rsidRPr="00223324">
        <w:rPr>
          <w:sz w:val="16"/>
          <w:szCs w:val="16"/>
        </w:rPr>
        <w:t>pt</w:t>
      </w:r>
      <w:proofErr w:type="spellEnd"/>
      <w:r w:rsidRPr="00223324">
        <w:rPr>
          <w:sz w:val="16"/>
          <w:szCs w:val="16"/>
        </w:rPr>
        <w:t>):</w:t>
      </w:r>
    </w:p>
    <w:p w14:paraId="606E7311" w14:textId="77777777" w:rsidR="00E619D6" w:rsidRPr="002215FE" w:rsidRDefault="00E619D6" w:rsidP="00E619D6">
      <w:pPr>
        <w:jc w:val="both"/>
        <w:rPr>
          <w:color w:val="000000"/>
        </w:rPr>
      </w:pPr>
      <w:bookmarkStart w:id="23" w:name="_Hlk80002086"/>
      <w:bookmarkEnd w:id="21"/>
    </w:p>
    <w:p w14:paraId="084142AC" w14:textId="77777777" w:rsidR="00E619D6" w:rsidRPr="003D6B19" w:rsidRDefault="00E619D6" w:rsidP="00E619D6">
      <w:pPr>
        <w:pStyle w:val="ListParagraph"/>
        <w:numPr>
          <w:ilvl w:val="0"/>
          <w:numId w:val="20"/>
        </w:numPr>
        <w:spacing w:after="0" w:line="240" w:lineRule="auto"/>
        <w:ind w:left="426" w:hanging="426"/>
        <w:jc w:val="both"/>
        <w:rPr>
          <w:rFonts w:ascii="Times New Roman" w:hAnsi="Times New Roman"/>
          <w:b/>
          <w:bCs/>
          <w:sz w:val="18"/>
          <w:szCs w:val="18"/>
        </w:rPr>
      </w:pPr>
      <w:bookmarkStart w:id="24" w:name="_Hlk65223902"/>
      <w:bookmarkStart w:id="25" w:name="_Hlk80001145"/>
      <w:r w:rsidRPr="003D6B19">
        <w:rPr>
          <w:rFonts w:ascii="Times New Roman" w:hAnsi="Times New Roman"/>
          <w:b/>
          <w:bCs/>
          <w:sz w:val="18"/>
          <w:szCs w:val="18"/>
        </w:rPr>
        <w:t>Journal/Periodicals</w:t>
      </w:r>
    </w:p>
    <w:p w14:paraId="4AA77EC0" w14:textId="77777777" w:rsidR="00E619D6" w:rsidRPr="00213B7B" w:rsidRDefault="00E619D6" w:rsidP="00E619D6">
      <w:pPr>
        <w:pStyle w:val="Default"/>
        <w:jc w:val="both"/>
        <w:rPr>
          <w:rFonts w:cs="Times New Roman"/>
          <w:sz w:val="16"/>
          <w:szCs w:val="16"/>
        </w:rPr>
      </w:pPr>
      <w:r w:rsidRPr="00213B7B">
        <w:rPr>
          <w:rFonts w:cs="Times New Roman"/>
          <w:i/>
          <w:iCs/>
          <w:sz w:val="16"/>
          <w:szCs w:val="16"/>
        </w:rPr>
        <w:t xml:space="preserve">Basic Format: </w:t>
      </w:r>
    </w:p>
    <w:p w14:paraId="16B6636B" w14:textId="77777777" w:rsidR="00E619D6" w:rsidRPr="00213B7B" w:rsidRDefault="00E619D6" w:rsidP="00E619D6">
      <w:pPr>
        <w:autoSpaceDE w:val="0"/>
        <w:autoSpaceDN w:val="0"/>
        <w:adjustRightInd w:val="0"/>
        <w:jc w:val="both"/>
        <w:rPr>
          <w:color w:val="000000"/>
          <w:sz w:val="16"/>
          <w:szCs w:val="16"/>
        </w:rPr>
      </w:pPr>
      <w:r w:rsidRPr="00213B7B">
        <w:rPr>
          <w:color w:val="000000"/>
          <w:sz w:val="16"/>
          <w:szCs w:val="16"/>
        </w:rPr>
        <w:t xml:space="preserve">J. K. Author, “Title of paper,” </w:t>
      </w:r>
      <w:r w:rsidRPr="00213B7B">
        <w:rPr>
          <w:i/>
          <w:iCs/>
          <w:color w:val="000000"/>
          <w:sz w:val="16"/>
          <w:szCs w:val="16"/>
        </w:rPr>
        <w:t>Abbrev. Title of Journal/Periodical</w:t>
      </w:r>
      <w:r w:rsidRPr="00213B7B">
        <w:rPr>
          <w:color w:val="000000"/>
          <w:sz w:val="16"/>
          <w:szCs w:val="16"/>
        </w:rPr>
        <w:t xml:space="preserve">, vol. </w:t>
      </w:r>
      <w:r w:rsidRPr="00213B7B">
        <w:rPr>
          <w:i/>
          <w:iCs/>
          <w:color w:val="000000"/>
          <w:sz w:val="16"/>
          <w:szCs w:val="16"/>
        </w:rPr>
        <w:t xml:space="preserve">x, </w:t>
      </w:r>
      <w:r w:rsidRPr="00213B7B">
        <w:rPr>
          <w:color w:val="000000"/>
          <w:sz w:val="16"/>
          <w:szCs w:val="16"/>
        </w:rPr>
        <w:t xml:space="preserve">no. </w:t>
      </w:r>
      <w:r w:rsidRPr="00213B7B">
        <w:rPr>
          <w:i/>
          <w:iCs/>
          <w:color w:val="000000"/>
          <w:sz w:val="16"/>
          <w:szCs w:val="16"/>
        </w:rPr>
        <w:t xml:space="preserve">x, </w:t>
      </w:r>
      <w:r w:rsidRPr="00213B7B">
        <w:rPr>
          <w:color w:val="000000"/>
          <w:sz w:val="16"/>
          <w:szCs w:val="16"/>
        </w:rPr>
        <w:t>pp</w:t>
      </w:r>
      <w:r w:rsidRPr="00213B7B">
        <w:rPr>
          <w:i/>
          <w:iCs/>
          <w:color w:val="000000"/>
          <w:sz w:val="16"/>
          <w:szCs w:val="16"/>
        </w:rPr>
        <w:t xml:space="preserve">. xxx-xxx, </w:t>
      </w:r>
      <w:r w:rsidRPr="00213B7B">
        <w:rPr>
          <w:color w:val="000000"/>
          <w:sz w:val="16"/>
          <w:szCs w:val="16"/>
        </w:rPr>
        <w:t xml:space="preserve">Abbrev. Month, year, </w:t>
      </w:r>
      <w:proofErr w:type="spellStart"/>
      <w:r w:rsidRPr="00213B7B">
        <w:rPr>
          <w:color w:val="000000"/>
          <w:sz w:val="16"/>
          <w:szCs w:val="16"/>
        </w:rPr>
        <w:t>doi</w:t>
      </w:r>
      <w:proofErr w:type="spellEnd"/>
      <w:r w:rsidRPr="00213B7B">
        <w:rPr>
          <w:color w:val="000000"/>
          <w:sz w:val="16"/>
          <w:szCs w:val="16"/>
        </w:rPr>
        <w:t xml:space="preserve">: </w:t>
      </w:r>
      <w:r w:rsidRPr="00213B7B">
        <w:rPr>
          <w:i/>
          <w:iCs/>
          <w:color w:val="000000"/>
          <w:sz w:val="16"/>
          <w:szCs w:val="16"/>
        </w:rPr>
        <w:t>xxx</w:t>
      </w:r>
      <w:r w:rsidRPr="00213B7B">
        <w:rPr>
          <w:color w:val="000000"/>
          <w:sz w:val="16"/>
          <w:szCs w:val="16"/>
        </w:rPr>
        <w:t xml:space="preserve">. </w:t>
      </w:r>
    </w:p>
    <w:p w14:paraId="6E10C746" w14:textId="77777777" w:rsidR="00E619D6" w:rsidRPr="00213B7B" w:rsidRDefault="00E619D6" w:rsidP="00E619D6">
      <w:pPr>
        <w:pStyle w:val="Default"/>
        <w:jc w:val="both"/>
        <w:rPr>
          <w:rFonts w:cs="Times New Roman"/>
          <w:color w:val="212121"/>
          <w:sz w:val="16"/>
          <w:szCs w:val="16"/>
        </w:rPr>
      </w:pPr>
      <w:r w:rsidRPr="00213B7B">
        <w:rPr>
          <w:rFonts w:cs="Times New Roman"/>
          <w:i/>
          <w:iCs/>
          <w:color w:val="212121"/>
          <w:sz w:val="16"/>
          <w:szCs w:val="16"/>
        </w:rPr>
        <w:t xml:space="preserve">Examples: </w:t>
      </w:r>
    </w:p>
    <w:bookmarkEnd w:id="24"/>
    <w:p w14:paraId="14B9CC9B"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M. M. </w:t>
      </w:r>
      <w:proofErr w:type="spellStart"/>
      <w:r w:rsidRPr="00F902B7">
        <w:rPr>
          <w:rFonts w:cs="Times New Roman"/>
          <w:sz w:val="16"/>
          <w:szCs w:val="16"/>
        </w:rPr>
        <w:t>Chiampi</w:t>
      </w:r>
      <w:proofErr w:type="spellEnd"/>
      <w:r w:rsidRPr="00F902B7">
        <w:rPr>
          <w:rFonts w:cs="Times New Roman"/>
          <w:sz w:val="16"/>
          <w:szCs w:val="16"/>
        </w:rPr>
        <w:t xml:space="preserve"> and L. L. </w:t>
      </w:r>
      <w:proofErr w:type="spellStart"/>
      <w:r w:rsidRPr="00F902B7">
        <w:rPr>
          <w:rFonts w:cs="Times New Roman"/>
          <w:sz w:val="16"/>
          <w:szCs w:val="16"/>
        </w:rPr>
        <w:t>Zilberti</w:t>
      </w:r>
      <w:proofErr w:type="spellEnd"/>
      <w:r w:rsidRPr="00F902B7">
        <w:rPr>
          <w:rFonts w:cs="Times New Roman"/>
          <w:sz w:val="16"/>
          <w:szCs w:val="16"/>
        </w:rPr>
        <w:t xml:space="preserve">, “Induction of electric field in human bodies moving near MRI: An efficient BEM computational procedure,” </w:t>
      </w:r>
      <w:r w:rsidRPr="00F902B7">
        <w:rPr>
          <w:rFonts w:cs="Times New Roman"/>
          <w:i/>
          <w:iCs/>
          <w:sz w:val="16"/>
          <w:szCs w:val="16"/>
        </w:rPr>
        <w:t>IEEE Trans. Biomed. Eng.</w:t>
      </w:r>
      <w:r w:rsidRPr="00F902B7">
        <w:rPr>
          <w:rFonts w:cs="Times New Roman"/>
          <w:sz w:val="16"/>
          <w:szCs w:val="16"/>
        </w:rPr>
        <w:t xml:space="preserve">, vol. 58, pp. 2787–2793, Oct. 2011, </w:t>
      </w:r>
      <w:proofErr w:type="spellStart"/>
      <w:r w:rsidRPr="00F902B7">
        <w:rPr>
          <w:rFonts w:cs="Times New Roman"/>
          <w:sz w:val="16"/>
          <w:szCs w:val="16"/>
        </w:rPr>
        <w:t>doi</w:t>
      </w:r>
      <w:proofErr w:type="spellEnd"/>
      <w:r w:rsidRPr="00F902B7">
        <w:rPr>
          <w:rFonts w:cs="Times New Roman"/>
          <w:sz w:val="16"/>
          <w:szCs w:val="16"/>
        </w:rPr>
        <w:t xml:space="preserve">: 10.1109/TBME.2011.2158315. </w:t>
      </w:r>
    </w:p>
    <w:p w14:paraId="36EB19AC"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R. Fardel, M. Nagel, F. </w:t>
      </w:r>
      <w:proofErr w:type="spellStart"/>
      <w:r w:rsidRPr="00F902B7">
        <w:rPr>
          <w:rFonts w:cs="Times New Roman"/>
          <w:sz w:val="16"/>
          <w:szCs w:val="16"/>
        </w:rPr>
        <w:t>Nuesch</w:t>
      </w:r>
      <w:proofErr w:type="spellEnd"/>
      <w:r w:rsidRPr="00F902B7">
        <w:rPr>
          <w:rFonts w:cs="Times New Roman"/>
          <w:sz w:val="16"/>
          <w:szCs w:val="16"/>
        </w:rPr>
        <w:t xml:space="preserve">, T. Lippert, and A. </w:t>
      </w:r>
      <w:proofErr w:type="spellStart"/>
      <w:r w:rsidRPr="00F902B7">
        <w:rPr>
          <w:rFonts w:cs="Times New Roman"/>
          <w:sz w:val="16"/>
          <w:szCs w:val="16"/>
        </w:rPr>
        <w:t>Wokaun</w:t>
      </w:r>
      <w:proofErr w:type="spellEnd"/>
      <w:r w:rsidRPr="00F902B7">
        <w:rPr>
          <w:rFonts w:cs="Times New Roman"/>
          <w:sz w:val="16"/>
          <w:szCs w:val="16"/>
        </w:rPr>
        <w:t xml:space="preserve">, “Fabrication of organic light emitting diode pixels by laser-assisted forward transfer,” </w:t>
      </w:r>
      <w:r w:rsidRPr="00F902B7">
        <w:rPr>
          <w:rFonts w:cs="Times New Roman"/>
          <w:i/>
          <w:iCs/>
          <w:sz w:val="16"/>
          <w:szCs w:val="16"/>
        </w:rPr>
        <w:t>Appl. Phys. Lett.</w:t>
      </w:r>
      <w:r w:rsidRPr="00F902B7">
        <w:rPr>
          <w:rFonts w:cs="Times New Roman"/>
          <w:sz w:val="16"/>
          <w:szCs w:val="16"/>
        </w:rPr>
        <w:t xml:space="preserve">, vol. 91, no. 6, Aug. 2007, Art. no. 061103, </w:t>
      </w:r>
      <w:proofErr w:type="spellStart"/>
      <w:r w:rsidRPr="00F902B7">
        <w:rPr>
          <w:rFonts w:cs="Times New Roman"/>
          <w:sz w:val="16"/>
          <w:szCs w:val="16"/>
        </w:rPr>
        <w:t>doi</w:t>
      </w:r>
      <w:proofErr w:type="spellEnd"/>
      <w:r w:rsidRPr="00F902B7">
        <w:rPr>
          <w:rFonts w:cs="Times New Roman"/>
          <w:sz w:val="16"/>
          <w:szCs w:val="16"/>
        </w:rPr>
        <w:t xml:space="preserve">: 10.1063/1.2759475. </w:t>
      </w:r>
    </w:p>
    <w:p w14:paraId="4046DF96" w14:textId="77777777" w:rsidR="00E619D6" w:rsidRPr="003D6B19" w:rsidRDefault="00E619D6" w:rsidP="00E619D6">
      <w:pPr>
        <w:pStyle w:val="ListParagraph"/>
        <w:numPr>
          <w:ilvl w:val="0"/>
          <w:numId w:val="20"/>
        </w:numPr>
        <w:spacing w:after="0" w:line="240" w:lineRule="auto"/>
        <w:ind w:left="426" w:hanging="426"/>
        <w:jc w:val="both"/>
        <w:rPr>
          <w:rFonts w:ascii="Times New Roman" w:hAnsi="Times New Roman"/>
          <w:color w:val="000000"/>
          <w:sz w:val="18"/>
          <w:szCs w:val="18"/>
        </w:rPr>
      </w:pPr>
      <w:r w:rsidRPr="003D6B19">
        <w:rPr>
          <w:rFonts w:ascii="Times New Roman" w:hAnsi="Times New Roman"/>
          <w:b/>
          <w:bCs/>
          <w:sz w:val="18"/>
          <w:szCs w:val="18"/>
        </w:rPr>
        <w:t xml:space="preserve">Conference Proceedings </w:t>
      </w:r>
    </w:p>
    <w:p w14:paraId="79FC64E4" w14:textId="77777777" w:rsidR="00E619D6" w:rsidRPr="00213B7B" w:rsidRDefault="00E619D6" w:rsidP="00E619D6">
      <w:pPr>
        <w:pStyle w:val="Default"/>
        <w:jc w:val="both"/>
        <w:rPr>
          <w:rFonts w:cs="Times New Roman"/>
          <w:sz w:val="16"/>
          <w:szCs w:val="16"/>
        </w:rPr>
      </w:pPr>
      <w:r w:rsidRPr="00213B7B">
        <w:rPr>
          <w:rFonts w:cs="Times New Roman"/>
          <w:i/>
          <w:iCs/>
          <w:sz w:val="16"/>
          <w:szCs w:val="16"/>
        </w:rPr>
        <w:t xml:space="preserve">Basic Format: </w:t>
      </w:r>
    </w:p>
    <w:p w14:paraId="62B77224" w14:textId="77777777" w:rsidR="00E619D6" w:rsidRPr="00213B7B" w:rsidRDefault="00E619D6" w:rsidP="00E619D6">
      <w:pPr>
        <w:autoSpaceDE w:val="0"/>
        <w:autoSpaceDN w:val="0"/>
        <w:adjustRightInd w:val="0"/>
        <w:jc w:val="both"/>
        <w:rPr>
          <w:color w:val="000000"/>
          <w:spacing w:val="-2"/>
          <w:sz w:val="16"/>
          <w:szCs w:val="16"/>
        </w:rPr>
      </w:pPr>
      <w:r w:rsidRPr="00213B7B">
        <w:rPr>
          <w:color w:val="000000"/>
          <w:spacing w:val="-2"/>
          <w:sz w:val="16"/>
          <w:szCs w:val="16"/>
        </w:rPr>
        <w:t xml:space="preserve">J. K. Author, “Title of paper,” in </w:t>
      </w:r>
      <w:r w:rsidRPr="00213B7B">
        <w:rPr>
          <w:i/>
          <w:iCs/>
          <w:color w:val="000000"/>
          <w:spacing w:val="-2"/>
          <w:sz w:val="16"/>
          <w:szCs w:val="16"/>
        </w:rPr>
        <w:t>Abbreviated Name of Conf.</w:t>
      </w:r>
      <w:r w:rsidRPr="00213B7B">
        <w:rPr>
          <w:color w:val="000000"/>
          <w:spacing w:val="-2"/>
          <w:sz w:val="16"/>
          <w:szCs w:val="16"/>
        </w:rPr>
        <w:t xml:space="preserve">, (location of conference is optional), year, pp. </w:t>
      </w:r>
      <w:r w:rsidRPr="00213B7B">
        <w:rPr>
          <w:i/>
          <w:iCs/>
          <w:color w:val="000000"/>
          <w:spacing w:val="-2"/>
          <w:sz w:val="16"/>
          <w:szCs w:val="16"/>
        </w:rPr>
        <w:t>xxx–xxx</w:t>
      </w:r>
      <w:r w:rsidRPr="00213B7B">
        <w:rPr>
          <w:color w:val="000000"/>
          <w:spacing w:val="-2"/>
          <w:sz w:val="16"/>
          <w:szCs w:val="16"/>
        </w:rPr>
        <w:t xml:space="preserve">, </w:t>
      </w:r>
      <w:proofErr w:type="spellStart"/>
      <w:r w:rsidRPr="00213B7B">
        <w:rPr>
          <w:color w:val="000000"/>
          <w:spacing w:val="-2"/>
          <w:sz w:val="16"/>
          <w:szCs w:val="16"/>
        </w:rPr>
        <w:t>doi</w:t>
      </w:r>
      <w:proofErr w:type="spellEnd"/>
      <w:r w:rsidRPr="00213B7B">
        <w:rPr>
          <w:color w:val="000000"/>
          <w:spacing w:val="-2"/>
          <w:sz w:val="16"/>
          <w:szCs w:val="16"/>
        </w:rPr>
        <w:t xml:space="preserve">: </w:t>
      </w:r>
      <w:r w:rsidRPr="00213B7B">
        <w:rPr>
          <w:i/>
          <w:iCs/>
          <w:color w:val="000000"/>
          <w:spacing w:val="-2"/>
          <w:sz w:val="16"/>
          <w:szCs w:val="16"/>
        </w:rPr>
        <w:t xml:space="preserve">xxx. </w:t>
      </w:r>
    </w:p>
    <w:p w14:paraId="32A2BDE6" w14:textId="77777777" w:rsidR="00E619D6" w:rsidRPr="00213B7B" w:rsidRDefault="00E619D6" w:rsidP="00E619D6">
      <w:pPr>
        <w:pStyle w:val="Default"/>
        <w:jc w:val="both"/>
        <w:rPr>
          <w:rFonts w:cs="Times New Roman"/>
          <w:i/>
          <w:iCs/>
          <w:sz w:val="16"/>
          <w:szCs w:val="16"/>
        </w:rPr>
      </w:pPr>
      <w:r w:rsidRPr="00213B7B">
        <w:rPr>
          <w:rFonts w:cs="Times New Roman"/>
          <w:i/>
          <w:iCs/>
          <w:sz w:val="16"/>
          <w:szCs w:val="16"/>
        </w:rPr>
        <w:t xml:space="preserve">Examples: </w:t>
      </w:r>
    </w:p>
    <w:p w14:paraId="285BECD5"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G. </w:t>
      </w:r>
      <w:proofErr w:type="spellStart"/>
      <w:r w:rsidRPr="00F902B7">
        <w:rPr>
          <w:rFonts w:cs="Times New Roman"/>
          <w:sz w:val="16"/>
          <w:szCs w:val="16"/>
        </w:rPr>
        <w:t>Veruggio</w:t>
      </w:r>
      <w:proofErr w:type="spellEnd"/>
      <w:r w:rsidRPr="00F902B7">
        <w:rPr>
          <w:rFonts w:cs="Times New Roman"/>
          <w:sz w:val="16"/>
          <w:szCs w:val="16"/>
        </w:rPr>
        <w:t xml:space="preserve">, “The EURON </w:t>
      </w:r>
      <w:proofErr w:type="spellStart"/>
      <w:r w:rsidRPr="00F902B7">
        <w:rPr>
          <w:rFonts w:cs="Times New Roman"/>
          <w:sz w:val="16"/>
          <w:szCs w:val="16"/>
        </w:rPr>
        <w:t>roboethics</w:t>
      </w:r>
      <w:proofErr w:type="spellEnd"/>
      <w:r w:rsidRPr="00F902B7">
        <w:rPr>
          <w:rFonts w:cs="Times New Roman"/>
          <w:sz w:val="16"/>
          <w:szCs w:val="16"/>
        </w:rPr>
        <w:t xml:space="preserve"> roadmap,” in </w:t>
      </w:r>
      <w:r w:rsidRPr="00F902B7">
        <w:rPr>
          <w:rFonts w:cs="Times New Roman"/>
          <w:i/>
          <w:iCs/>
          <w:sz w:val="16"/>
          <w:szCs w:val="16"/>
        </w:rPr>
        <w:t>Proc. Humanoids ’06: 6th IEEE-RAS Int. Conf. Humanoid Robots</w:t>
      </w:r>
      <w:r w:rsidRPr="00F902B7">
        <w:rPr>
          <w:rFonts w:cs="Times New Roman"/>
          <w:sz w:val="16"/>
          <w:szCs w:val="16"/>
        </w:rPr>
        <w:t xml:space="preserve">, 2006, pp. 612–617, </w:t>
      </w:r>
      <w:proofErr w:type="spellStart"/>
      <w:r w:rsidRPr="00F902B7">
        <w:rPr>
          <w:rFonts w:cs="Times New Roman"/>
          <w:sz w:val="16"/>
          <w:szCs w:val="16"/>
        </w:rPr>
        <w:t>doi</w:t>
      </w:r>
      <w:proofErr w:type="spellEnd"/>
      <w:r w:rsidRPr="00F902B7">
        <w:rPr>
          <w:rFonts w:cs="Times New Roman"/>
          <w:sz w:val="16"/>
          <w:szCs w:val="16"/>
        </w:rPr>
        <w:t xml:space="preserve">: 10.1109/ICHR.2006.321337. </w:t>
      </w:r>
    </w:p>
    <w:p w14:paraId="69997DC5"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J. Zhao, G. Sun, G. H. Loh, and Y. Xie, “Energy-efficient GPU design with reconfigurable in-package graphics memory,” in </w:t>
      </w:r>
      <w:r w:rsidRPr="00F902B7">
        <w:rPr>
          <w:rFonts w:cs="Times New Roman"/>
          <w:i/>
          <w:iCs/>
          <w:sz w:val="16"/>
          <w:szCs w:val="16"/>
        </w:rPr>
        <w:t>Proc. ACM/IEEE Int. Symp. Low Power Electron. Design (ISLPED)</w:t>
      </w:r>
      <w:r w:rsidRPr="00F902B7">
        <w:rPr>
          <w:rFonts w:cs="Times New Roman"/>
          <w:sz w:val="16"/>
          <w:szCs w:val="16"/>
        </w:rPr>
        <w:t xml:space="preserve">, Jul. 2012, pp. 403–408, </w:t>
      </w:r>
      <w:proofErr w:type="spellStart"/>
      <w:r w:rsidRPr="00F902B7">
        <w:rPr>
          <w:rFonts w:cs="Times New Roman"/>
          <w:sz w:val="16"/>
          <w:szCs w:val="16"/>
        </w:rPr>
        <w:t>doi</w:t>
      </w:r>
      <w:proofErr w:type="spellEnd"/>
      <w:r w:rsidRPr="00F902B7">
        <w:rPr>
          <w:rFonts w:cs="Times New Roman"/>
          <w:sz w:val="16"/>
          <w:szCs w:val="16"/>
        </w:rPr>
        <w:t xml:space="preserve">: 10.1145/2333660.2333752. </w:t>
      </w:r>
    </w:p>
    <w:p w14:paraId="407AD8F7" w14:textId="77777777" w:rsidR="00E619D6" w:rsidRPr="002215FE" w:rsidRDefault="00E619D6" w:rsidP="00E619D6">
      <w:pPr>
        <w:jc w:val="both"/>
        <w:rPr>
          <w:b/>
          <w:bCs/>
        </w:rPr>
      </w:pPr>
    </w:p>
    <w:p w14:paraId="43E252DF" w14:textId="77777777" w:rsidR="00E619D6" w:rsidRPr="003D6B19" w:rsidRDefault="00E619D6" w:rsidP="00E619D6">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Book</w:t>
      </w:r>
    </w:p>
    <w:p w14:paraId="5C92185D" w14:textId="77777777" w:rsidR="00E619D6" w:rsidRPr="00213B7B" w:rsidRDefault="00E619D6" w:rsidP="00E619D6">
      <w:pPr>
        <w:pStyle w:val="Default"/>
        <w:jc w:val="both"/>
        <w:rPr>
          <w:rFonts w:cs="Times New Roman"/>
          <w:i/>
          <w:iCs/>
          <w:sz w:val="16"/>
          <w:szCs w:val="16"/>
        </w:rPr>
      </w:pPr>
      <w:r w:rsidRPr="00213B7B">
        <w:rPr>
          <w:rFonts w:cs="Times New Roman"/>
          <w:i/>
          <w:iCs/>
          <w:sz w:val="16"/>
          <w:szCs w:val="16"/>
        </w:rPr>
        <w:t xml:space="preserve">Basic Format: </w:t>
      </w:r>
    </w:p>
    <w:p w14:paraId="6BBDA271" w14:textId="77777777" w:rsidR="00E619D6" w:rsidRPr="00213B7B" w:rsidRDefault="00E619D6" w:rsidP="00E619D6">
      <w:pPr>
        <w:autoSpaceDE w:val="0"/>
        <w:autoSpaceDN w:val="0"/>
        <w:adjustRightInd w:val="0"/>
        <w:jc w:val="both"/>
        <w:rPr>
          <w:color w:val="000000"/>
          <w:sz w:val="16"/>
          <w:szCs w:val="16"/>
        </w:rPr>
      </w:pPr>
      <w:r w:rsidRPr="00213B7B">
        <w:rPr>
          <w:color w:val="000000"/>
          <w:sz w:val="16"/>
          <w:szCs w:val="16"/>
        </w:rPr>
        <w:t xml:space="preserve">J. K. Author, “Title of chapter in the book,” in </w:t>
      </w:r>
      <w:r w:rsidRPr="00213B7B">
        <w:rPr>
          <w:i/>
          <w:iCs/>
          <w:color w:val="000000"/>
          <w:sz w:val="16"/>
          <w:szCs w:val="16"/>
        </w:rPr>
        <w:t>Title of His Published Book</w:t>
      </w:r>
      <w:r w:rsidRPr="00213B7B">
        <w:rPr>
          <w:color w:val="000000"/>
          <w:sz w:val="16"/>
          <w:szCs w:val="16"/>
        </w:rPr>
        <w:t xml:space="preserve">, X. Editor, Ed., </w:t>
      </w:r>
      <w:proofErr w:type="spellStart"/>
      <w:r w:rsidRPr="00213B7B">
        <w:rPr>
          <w:i/>
          <w:iCs/>
          <w:color w:val="000000"/>
          <w:sz w:val="16"/>
          <w:szCs w:val="16"/>
        </w:rPr>
        <w:t>x</w:t>
      </w:r>
      <w:r w:rsidRPr="00213B7B">
        <w:rPr>
          <w:color w:val="000000"/>
          <w:sz w:val="16"/>
          <w:szCs w:val="16"/>
        </w:rPr>
        <w:t>th</w:t>
      </w:r>
      <w:proofErr w:type="spellEnd"/>
      <w:r w:rsidRPr="00213B7B">
        <w:rPr>
          <w:color w:val="000000"/>
          <w:sz w:val="16"/>
          <w:szCs w:val="16"/>
        </w:rPr>
        <w:t xml:space="preserve"> ed. City of Publisher, State (only U.S.), Country: Abbrev. of Publisher, year, </w:t>
      </w:r>
      <w:proofErr w:type="spellStart"/>
      <w:r w:rsidRPr="00213B7B">
        <w:rPr>
          <w:color w:val="000000"/>
          <w:sz w:val="16"/>
          <w:szCs w:val="16"/>
        </w:rPr>
        <w:t>ch.</w:t>
      </w:r>
      <w:proofErr w:type="spellEnd"/>
      <w:r w:rsidRPr="00213B7B">
        <w:rPr>
          <w:color w:val="000000"/>
          <w:sz w:val="16"/>
          <w:szCs w:val="16"/>
        </w:rPr>
        <w:t xml:space="preserve"> </w:t>
      </w:r>
      <w:r w:rsidRPr="00213B7B">
        <w:rPr>
          <w:i/>
          <w:iCs/>
          <w:color w:val="000000"/>
          <w:sz w:val="16"/>
          <w:szCs w:val="16"/>
        </w:rPr>
        <w:t>x</w:t>
      </w:r>
      <w:r w:rsidRPr="00213B7B">
        <w:rPr>
          <w:color w:val="000000"/>
          <w:sz w:val="16"/>
          <w:szCs w:val="16"/>
        </w:rPr>
        <w:t xml:space="preserve">, sec. </w:t>
      </w:r>
      <w:r w:rsidRPr="00213B7B">
        <w:rPr>
          <w:i/>
          <w:iCs/>
          <w:color w:val="000000"/>
          <w:sz w:val="16"/>
          <w:szCs w:val="16"/>
        </w:rPr>
        <w:t>x</w:t>
      </w:r>
      <w:r w:rsidRPr="00213B7B">
        <w:rPr>
          <w:color w:val="000000"/>
          <w:sz w:val="16"/>
          <w:szCs w:val="16"/>
        </w:rPr>
        <w:t xml:space="preserve">, pp. </w:t>
      </w:r>
      <w:r w:rsidRPr="00213B7B">
        <w:rPr>
          <w:i/>
          <w:iCs/>
          <w:color w:val="000000"/>
          <w:sz w:val="16"/>
          <w:szCs w:val="16"/>
        </w:rPr>
        <w:t xml:space="preserve">xxx–xxx. </w:t>
      </w:r>
    </w:p>
    <w:p w14:paraId="650DB026" w14:textId="77777777" w:rsidR="00E619D6" w:rsidRPr="00213B7B" w:rsidRDefault="00E619D6" w:rsidP="00E619D6">
      <w:pPr>
        <w:jc w:val="both"/>
        <w:rPr>
          <w:i/>
          <w:iCs/>
          <w:sz w:val="16"/>
          <w:szCs w:val="16"/>
        </w:rPr>
      </w:pPr>
      <w:r w:rsidRPr="00213B7B">
        <w:rPr>
          <w:i/>
          <w:iCs/>
          <w:sz w:val="16"/>
          <w:szCs w:val="16"/>
        </w:rPr>
        <w:t>Examples:</w:t>
      </w:r>
    </w:p>
    <w:p w14:paraId="592B9F9C"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A. </w:t>
      </w:r>
      <w:proofErr w:type="spellStart"/>
      <w:r w:rsidRPr="00F902B7">
        <w:rPr>
          <w:rFonts w:cs="Times New Roman"/>
          <w:sz w:val="16"/>
          <w:szCs w:val="16"/>
        </w:rPr>
        <w:t>Taflove</w:t>
      </w:r>
      <w:proofErr w:type="spellEnd"/>
      <w:r w:rsidRPr="00F902B7">
        <w:rPr>
          <w:rFonts w:cs="Times New Roman"/>
          <w:sz w:val="16"/>
          <w:szCs w:val="16"/>
        </w:rPr>
        <w:t xml:space="preserve">, </w:t>
      </w:r>
      <w:r w:rsidRPr="00F902B7">
        <w:rPr>
          <w:rFonts w:cs="Times New Roman"/>
          <w:i/>
          <w:iCs/>
          <w:sz w:val="16"/>
          <w:szCs w:val="16"/>
        </w:rPr>
        <w:t xml:space="preserve">Computational Electrodynamics: The Finite-Difference Time-Domain Method </w:t>
      </w:r>
      <w:r w:rsidRPr="00F902B7">
        <w:rPr>
          <w:rFonts w:cs="Times New Roman"/>
          <w:sz w:val="16"/>
          <w:szCs w:val="16"/>
        </w:rPr>
        <w:t xml:space="preserve">in Computational Electrodynamics II, vol. 3, 2nd ed. Norwood, MA, USA: Artech House, 1996. </w:t>
      </w:r>
    </w:p>
    <w:p w14:paraId="7996FC89"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R. L. Myer, “Parametric oscillators and nonlinear materials,” in </w:t>
      </w:r>
      <w:r w:rsidRPr="00F902B7">
        <w:rPr>
          <w:rFonts w:cs="Times New Roman"/>
          <w:i/>
          <w:iCs/>
          <w:sz w:val="16"/>
          <w:szCs w:val="16"/>
        </w:rPr>
        <w:t>Nonlinear Optics</w:t>
      </w:r>
      <w:r w:rsidRPr="00F902B7">
        <w:rPr>
          <w:rFonts w:cs="Times New Roman"/>
          <w:sz w:val="16"/>
          <w:szCs w:val="16"/>
        </w:rPr>
        <w:t xml:space="preserve">, vol. 4, P. G. Harper and B. S. </w:t>
      </w:r>
      <w:proofErr w:type="spellStart"/>
      <w:r w:rsidRPr="00F902B7">
        <w:rPr>
          <w:rFonts w:cs="Times New Roman"/>
          <w:sz w:val="16"/>
          <w:szCs w:val="16"/>
        </w:rPr>
        <w:t>Wherret</w:t>
      </w:r>
      <w:proofErr w:type="spellEnd"/>
      <w:r w:rsidRPr="00F902B7">
        <w:rPr>
          <w:rFonts w:cs="Times New Roman"/>
          <w:sz w:val="16"/>
          <w:szCs w:val="16"/>
        </w:rPr>
        <w:t xml:space="preserve">, Eds., San Francisco, CA, USA: Academic, 1977, pp. 47–160. </w:t>
      </w:r>
    </w:p>
    <w:p w14:paraId="3062FDF2" w14:textId="77777777" w:rsidR="00E619D6" w:rsidRPr="002215FE" w:rsidRDefault="00E619D6" w:rsidP="00E619D6">
      <w:pPr>
        <w:jc w:val="both"/>
        <w:rPr>
          <w:color w:val="000000"/>
        </w:rPr>
      </w:pPr>
    </w:p>
    <w:p w14:paraId="60B4EF39" w14:textId="77777777" w:rsidR="00E619D6" w:rsidRPr="003D6B19" w:rsidRDefault="00E619D6" w:rsidP="00E619D6">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 xml:space="preserve">M. Theses (B.S., M.S.) and Dissertations (Ph.D.) </w:t>
      </w:r>
    </w:p>
    <w:p w14:paraId="184A5465" w14:textId="77777777" w:rsidR="00E619D6" w:rsidRPr="00213B7B" w:rsidRDefault="00E619D6" w:rsidP="00E619D6">
      <w:pPr>
        <w:pStyle w:val="Default"/>
        <w:jc w:val="both"/>
        <w:rPr>
          <w:rFonts w:cs="Times New Roman"/>
          <w:sz w:val="16"/>
          <w:szCs w:val="16"/>
        </w:rPr>
      </w:pPr>
      <w:r w:rsidRPr="00213B7B">
        <w:rPr>
          <w:rFonts w:cs="Times New Roman"/>
          <w:i/>
          <w:iCs/>
          <w:sz w:val="16"/>
          <w:szCs w:val="16"/>
        </w:rPr>
        <w:t xml:space="preserve">Basic Format: </w:t>
      </w:r>
    </w:p>
    <w:p w14:paraId="769475BD" w14:textId="77777777" w:rsidR="00E619D6" w:rsidRPr="00213B7B" w:rsidRDefault="00E619D6" w:rsidP="00E619D6">
      <w:pPr>
        <w:pStyle w:val="Default"/>
        <w:jc w:val="both"/>
        <w:rPr>
          <w:rFonts w:cs="Times New Roman"/>
          <w:sz w:val="16"/>
          <w:szCs w:val="16"/>
        </w:rPr>
      </w:pPr>
      <w:r w:rsidRPr="00213B7B">
        <w:rPr>
          <w:rFonts w:cs="Times New Roman"/>
          <w:sz w:val="16"/>
          <w:szCs w:val="16"/>
        </w:rPr>
        <w:t xml:space="preserve">J. K. Author, “Title of thesis,” M.S. thesis, Abbrev. Dept., Abbrev. Univ., City of Univ., Abbrev. State, year. </w:t>
      </w:r>
    </w:p>
    <w:p w14:paraId="3875C5B4" w14:textId="77777777" w:rsidR="00E619D6" w:rsidRPr="00213B7B" w:rsidRDefault="00E619D6" w:rsidP="00E619D6">
      <w:pPr>
        <w:pStyle w:val="Default"/>
        <w:jc w:val="both"/>
        <w:rPr>
          <w:rFonts w:cs="Times New Roman"/>
          <w:sz w:val="16"/>
          <w:szCs w:val="16"/>
        </w:rPr>
      </w:pPr>
      <w:r w:rsidRPr="00213B7B">
        <w:rPr>
          <w:rFonts w:cs="Times New Roman"/>
          <w:sz w:val="16"/>
          <w:szCs w:val="16"/>
        </w:rPr>
        <w:t xml:space="preserve">J. K. Author, “Title of dissertation,” Ph.D. dissertation, Abbrev. Dept., Abbrev. Univ., City of Univ., Abbrev. State, year. </w:t>
      </w:r>
    </w:p>
    <w:p w14:paraId="192E4F8D" w14:textId="77777777" w:rsidR="00E619D6" w:rsidRPr="00213B7B" w:rsidRDefault="00E619D6" w:rsidP="00E619D6">
      <w:pPr>
        <w:pStyle w:val="Default"/>
        <w:jc w:val="both"/>
        <w:rPr>
          <w:rFonts w:cs="Times New Roman"/>
          <w:sz w:val="16"/>
          <w:szCs w:val="16"/>
        </w:rPr>
      </w:pPr>
      <w:r w:rsidRPr="00213B7B">
        <w:rPr>
          <w:rFonts w:cs="Times New Roman"/>
          <w:i/>
          <w:iCs/>
          <w:sz w:val="16"/>
          <w:szCs w:val="16"/>
        </w:rPr>
        <w:t xml:space="preserve">Examples: </w:t>
      </w:r>
    </w:p>
    <w:p w14:paraId="20AEA0CD"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J. O. Williams, “Narrow-band analyzer,” Ph.D. dissertation, Dept. Elect. Eng., Harvard Univ., Cambridge, MA, USA, 1993. </w:t>
      </w:r>
    </w:p>
    <w:p w14:paraId="665BA45F" w14:textId="77777777" w:rsidR="00E619D6" w:rsidRPr="00F902B7" w:rsidRDefault="00E619D6" w:rsidP="00E619D6">
      <w:pPr>
        <w:pStyle w:val="Default"/>
        <w:numPr>
          <w:ilvl w:val="0"/>
          <w:numId w:val="21"/>
        </w:numPr>
        <w:ind w:left="426"/>
        <w:jc w:val="both"/>
        <w:rPr>
          <w:rFonts w:cs="Times New Roman"/>
          <w:sz w:val="16"/>
          <w:szCs w:val="16"/>
        </w:rPr>
      </w:pPr>
      <w:r w:rsidRPr="00F902B7">
        <w:rPr>
          <w:rFonts w:cs="Times New Roman"/>
          <w:sz w:val="16"/>
          <w:szCs w:val="16"/>
        </w:rPr>
        <w:t xml:space="preserve">N. Kawasaki, “Parametric study of thermal and chemical nonequilibrium nozzle flow,” M.S. thesis, Dept. Electron. Eng., Osaka Univ., Osaka, Japan, 1993. </w:t>
      </w:r>
    </w:p>
    <w:p w14:paraId="64BDD0C9" w14:textId="77777777" w:rsidR="00E619D6" w:rsidRPr="002215FE" w:rsidRDefault="00E619D6" w:rsidP="00E619D6">
      <w:pPr>
        <w:pStyle w:val="Default"/>
        <w:rPr>
          <w:rFonts w:cs="Times New Roman"/>
          <w:sz w:val="20"/>
          <w:szCs w:val="20"/>
        </w:rPr>
      </w:pPr>
    </w:p>
    <w:p w14:paraId="60FFAE05" w14:textId="77777777" w:rsidR="00E619D6" w:rsidRPr="00213B7B" w:rsidRDefault="00E619D6" w:rsidP="00E619D6">
      <w:pPr>
        <w:rPr>
          <w:color w:val="000000"/>
          <w:sz w:val="16"/>
          <w:szCs w:val="16"/>
        </w:rPr>
      </w:pPr>
      <w:r w:rsidRPr="00213B7B">
        <w:rPr>
          <w:color w:val="000000"/>
          <w:sz w:val="16"/>
          <w:szCs w:val="16"/>
        </w:rPr>
        <w:t xml:space="preserve">*In the reference list, however, list all the authors for up to six authors. Use </w:t>
      </w:r>
      <w:r w:rsidRPr="00213B7B">
        <w:rPr>
          <w:i/>
          <w:iCs/>
          <w:color w:val="000000"/>
          <w:sz w:val="16"/>
          <w:szCs w:val="16"/>
        </w:rPr>
        <w:t>et al.</w:t>
      </w:r>
      <w:r w:rsidRPr="00213B7B">
        <w:rPr>
          <w:color w:val="000000"/>
          <w:sz w:val="16"/>
          <w:szCs w:val="16"/>
        </w:rPr>
        <w:t xml:space="preserve"> only if: 1) The names are not given and 2) List of authors more than 6. </w:t>
      </w:r>
      <w:r w:rsidRPr="00213B7B">
        <w:rPr>
          <w:i/>
          <w:iCs/>
          <w:color w:val="000000"/>
          <w:sz w:val="16"/>
          <w:szCs w:val="16"/>
        </w:rPr>
        <w:t>Example</w:t>
      </w:r>
      <w:r w:rsidRPr="00213B7B">
        <w:rPr>
          <w:color w:val="000000"/>
          <w:sz w:val="16"/>
          <w:szCs w:val="16"/>
        </w:rPr>
        <w:t xml:space="preserve">: J. D. Bellamy </w:t>
      </w:r>
      <w:r w:rsidRPr="00213B7B">
        <w:rPr>
          <w:i/>
          <w:iCs/>
          <w:color w:val="000000"/>
          <w:sz w:val="16"/>
          <w:szCs w:val="16"/>
        </w:rPr>
        <w:t>et al.</w:t>
      </w:r>
      <w:r w:rsidRPr="00213B7B">
        <w:rPr>
          <w:color w:val="000000"/>
          <w:sz w:val="16"/>
          <w:szCs w:val="16"/>
        </w:rPr>
        <w:t>, Computer Telephony Integration, New York: Wiley, 2010.</w:t>
      </w:r>
    </w:p>
    <w:bookmarkEnd w:id="22"/>
    <w:bookmarkEnd w:id="23"/>
    <w:bookmarkEnd w:id="25"/>
    <w:p w14:paraId="4BC3F173" w14:textId="626BCFD6" w:rsidR="00E619D6" w:rsidRDefault="00E619D6" w:rsidP="00E619D6">
      <w:pPr>
        <w:jc w:val="both"/>
        <w:rPr>
          <w:color w:val="000000"/>
        </w:rPr>
      </w:pPr>
    </w:p>
    <w:p w14:paraId="37129761" w14:textId="7A93E79D" w:rsidR="00E619D6" w:rsidRPr="00213B7B" w:rsidRDefault="00E619D6" w:rsidP="00E619D6">
      <w:pPr>
        <w:jc w:val="both"/>
        <w:rPr>
          <w:i/>
          <w:iCs/>
          <w:color w:val="000000"/>
          <w:sz w:val="16"/>
          <w:szCs w:val="16"/>
        </w:rPr>
      </w:pPr>
      <w:r w:rsidRPr="00213B7B">
        <w:rPr>
          <w:i/>
          <w:iCs/>
          <w:color w:val="000000"/>
          <w:sz w:val="16"/>
          <w:szCs w:val="16"/>
        </w:rPr>
        <w:t>See the examples:</w:t>
      </w:r>
    </w:p>
    <w:p w14:paraId="2969FE6E" w14:textId="77777777" w:rsidR="00354A58" w:rsidRPr="003D6B19" w:rsidRDefault="00354A58" w:rsidP="00354A58">
      <w:pPr>
        <w:jc w:val="both"/>
        <w:rPr>
          <w:i/>
          <w:iCs/>
          <w:color w:val="000000"/>
          <w:sz w:val="18"/>
          <w:szCs w:val="18"/>
        </w:rPr>
      </w:pPr>
      <w:bookmarkStart w:id="26" w:name="_Hlk78354977"/>
      <w:r w:rsidRPr="00851B56">
        <w:rPr>
          <w:rStyle w:val="apple-style-span"/>
          <w:b/>
          <w:color w:val="000000"/>
          <w:lang w:val="pt-BR"/>
        </w:rPr>
        <w:t>REFERENCES</w:t>
      </w:r>
    </w:p>
    <w:bookmarkEnd w:id="26"/>
    <w:p w14:paraId="5F462C78" w14:textId="77777777" w:rsidR="00E619D6" w:rsidRPr="00FA7BF0" w:rsidRDefault="00E619D6" w:rsidP="00E619D6">
      <w:pPr>
        <w:widowControl w:val="0"/>
        <w:autoSpaceDE w:val="0"/>
        <w:autoSpaceDN w:val="0"/>
        <w:adjustRightInd w:val="0"/>
        <w:ind w:left="426" w:hanging="426"/>
        <w:jc w:val="both"/>
        <w:rPr>
          <w:noProof/>
          <w:sz w:val="14"/>
          <w:szCs w:val="14"/>
        </w:rPr>
      </w:pPr>
      <w:r w:rsidRPr="003D6B19">
        <w:rPr>
          <w:color w:val="000000"/>
          <w:sz w:val="18"/>
          <w:szCs w:val="18"/>
        </w:rPr>
        <w:fldChar w:fldCharType="begin" w:fldLock="1"/>
      </w:r>
      <w:r w:rsidRPr="003D6B19">
        <w:rPr>
          <w:color w:val="000000"/>
          <w:sz w:val="18"/>
          <w:szCs w:val="18"/>
        </w:rPr>
        <w:instrText xml:space="preserve">ADDIN Mendeley Bibliography CSL_BIBLIOGRAPHY </w:instrText>
      </w:r>
      <w:r w:rsidRPr="003D6B19">
        <w:rPr>
          <w:color w:val="000000"/>
          <w:sz w:val="18"/>
          <w:szCs w:val="18"/>
        </w:rPr>
        <w:fldChar w:fldCharType="separate"/>
      </w:r>
      <w:r w:rsidRPr="00FA7BF0">
        <w:rPr>
          <w:noProof/>
          <w:sz w:val="16"/>
          <w:szCs w:val="22"/>
        </w:rPr>
        <w:t>[1]</w:t>
      </w:r>
      <w:r w:rsidRPr="00FA7BF0">
        <w:rPr>
          <w:noProof/>
          <w:sz w:val="16"/>
          <w:szCs w:val="22"/>
        </w:rPr>
        <w:tab/>
        <w:t xml:space="preserve">M. Sigala, A. Beer, L. Hodgson, and A. O’Connor, </w:t>
      </w:r>
      <w:r w:rsidRPr="00FA7BF0">
        <w:rPr>
          <w:i/>
          <w:iCs/>
          <w:noProof/>
          <w:sz w:val="16"/>
          <w:szCs w:val="22"/>
        </w:rPr>
        <w:t xml:space="preserve">Big Data for Measuring the Impact of Tourism Economic </w:t>
      </w:r>
      <w:r w:rsidRPr="00FA7BF0">
        <w:rPr>
          <w:i/>
          <w:iCs/>
          <w:noProof/>
          <w:sz w:val="14"/>
          <w:szCs w:val="14"/>
        </w:rPr>
        <w:t>Development Programmes: A Process and Quality Criteria Framework for Using Big Data</w:t>
      </w:r>
      <w:r w:rsidRPr="00FA7BF0">
        <w:rPr>
          <w:noProof/>
          <w:sz w:val="14"/>
          <w:szCs w:val="14"/>
        </w:rPr>
        <w:t>. 2019.</w:t>
      </w:r>
    </w:p>
    <w:p w14:paraId="2224D555"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w:t>
      </w:r>
      <w:r w:rsidRPr="00F902B7">
        <w:rPr>
          <w:noProof/>
          <w:sz w:val="16"/>
          <w:szCs w:val="16"/>
        </w:rPr>
        <w:tab/>
        <w:t xml:space="preserve">G. Nguyen </w:t>
      </w:r>
      <w:r w:rsidRPr="00F902B7">
        <w:rPr>
          <w:i/>
          <w:iCs/>
          <w:noProof/>
          <w:sz w:val="16"/>
          <w:szCs w:val="16"/>
        </w:rPr>
        <w:t>et al.</w:t>
      </w:r>
      <w:r w:rsidRPr="00F902B7">
        <w:rPr>
          <w:noProof/>
          <w:sz w:val="16"/>
          <w:szCs w:val="16"/>
        </w:rPr>
        <w:t xml:space="preserve">, “Machine Learning and Deep Learning frameworks and libraries for large-scale data mining: a survey,” </w:t>
      </w:r>
      <w:r w:rsidRPr="00F902B7">
        <w:rPr>
          <w:i/>
          <w:iCs/>
          <w:noProof/>
          <w:sz w:val="16"/>
          <w:szCs w:val="16"/>
        </w:rPr>
        <w:t>Artif. Intell. Rev.</w:t>
      </w:r>
      <w:r w:rsidRPr="00F902B7">
        <w:rPr>
          <w:noProof/>
          <w:sz w:val="16"/>
          <w:szCs w:val="16"/>
        </w:rPr>
        <w:t>, vol. 52, no. 1, pp. 77–124, 2019, doi: 10.1007/s10462-018-09679-z.</w:t>
      </w:r>
    </w:p>
    <w:p w14:paraId="7A18DA45"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[3]</w:t>
      </w:r>
      <w:r w:rsidRPr="00F902B7">
        <w:rPr>
          <w:noProof/>
          <w:sz w:val="16"/>
          <w:szCs w:val="16"/>
        </w:rPr>
        <w:tab/>
        <w:t xml:space="preserve">C. Shorten and T. M. Khoshgoftaar, “A survey on Image Data Augmentation for Deep Learning,” </w:t>
      </w:r>
      <w:r w:rsidRPr="00F902B7">
        <w:rPr>
          <w:i/>
          <w:iCs/>
          <w:noProof/>
          <w:sz w:val="16"/>
          <w:szCs w:val="16"/>
        </w:rPr>
        <w:t>J. Big Data</w:t>
      </w:r>
      <w:r w:rsidRPr="00F902B7">
        <w:rPr>
          <w:noProof/>
          <w:sz w:val="16"/>
          <w:szCs w:val="16"/>
        </w:rPr>
        <w:t>, vol. 6, no. 1, 2019, doi: 10.1186/s40537-019-0197-0.</w:t>
      </w:r>
    </w:p>
    <w:p w14:paraId="267A7258"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[4]</w:t>
      </w:r>
      <w:r w:rsidRPr="00F902B7">
        <w:rPr>
          <w:noProof/>
          <w:sz w:val="16"/>
          <w:szCs w:val="16"/>
        </w:rPr>
        <w:tab/>
        <w:t xml:space="preserve">R. Vinayakumar, M. Alazab, K. P. Soman, P. Poornachandran, A. Al-Nemrat, and S. Venkatraman, “Deep Learning Approach for Intelligent Intrusion Detection System,” </w:t>
      </w:r>
      <w:r w:rsidRPr="00F902B7">
        <w:rPr>
          <w:i/>
          <w:iCs/>
          <w:noProof/>
          <w:sz w:val="16"/>
          <w:szCs w:val="16"/>
        </w:rPr>
        <w:t>IEEE Access</w:t>
      </w:r>
      <w:r w:rsidRPr="00F902B7">
        <w:rPr>
          <w:noProof/>
          <w:sz w:val="16"/>
          <w:szCs w:val="16"/>
        </w:rPr>
        <w:t>, vol. 7, pp. 41525–41550, 2019, doi: 10.1109/ACCESS.2019.2895334.</w:t>
      </w:r>
    </w:p>
    <w:p w14:paraId="42815563"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[5]</w:t>
      </w:r>
      <w:r w:rsidRPr="00F902B7">
        <w:rPr>
          <w:noProof/>
          <w:sz w:val="16"/>
          <w:szCs w:val="16"/>
        </w:rPr>
        <w:tab/>
        <w:t xml:space="preserve">K. Sivaraman, R. M. V. Krishnan, B. Sundarraj, and S. Sri Gowthem, “Network failure detection and diagnosis by analyzing syslog and SNS data: Applying big data analysis to network operations,” </w:t>
      </w:r>
      <w:r w:rsidRPr="00F902B7">
        <w:rPr>
          <w:i/>
          <w:iCs/>
          <w:noProof/>
          <w:sz w:val="16"/>
          <w:szCs w:val="16"/>
        </w:rPr>
        <w:t>Int. J. Innov. Technol. Explor. Eng.</w:t>
      </w:r>
      <w:r w:rsidRPr="00F902B7">
        <w:rPr>
          <w:noProof/>
          <w:sz w:val="16"/>
          <w:szCs w:val="16"/>
        </w:rPr>
        <w:t>, vol. 8, no. 9 Special Issue 3, pp. 883–887, 2019, doi: 10.35940/ijitee.I3187.0789S319.</w:t>
      </w:r>
    </w:p>
    <w:p w14:paraId="76B59260"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[6]</w:t>
      </w:r>
      <w:r w:rsidRPr="00F902B7">
        <w:rPr>
          <w:noProof/>
          <w:sz w:val="16"/>
          <w:szCs w:val="16"/>
        </w:rPr>
        <w:tab/>
        <w:t xml:space="preserve">A. D. Dwivedi, G. Srivastava, S. Dhar, and R. Singh, “A decentralized privacy-preserving healthcare blockchain for IoT,” </w:t>
      </w:r>
      <w:r w:rsidRPr="00F902B7">
        <w:rPr>
          <w:i/>
          <w:iCs/>
          <w:noProof/>
          <w:sz w:val="16"/>
          <w:szCs w:val="16"/>
        </w:rPr>
        <w:t>Sensors (Switzerland)</w:t>
      </w:r>
      <w:r w:rsidRPr="00F902B7">
        <w:rPr>
          <w:noProof/>
          <w:sz w:val="16"/>
          <w:szCs w:val="16"/>
        </w:rPr>
        <w:t>, vol. 19, no. 2, pp. 1–17, 2019, doi: 10.3390/s19020326.</w:t>
      </w:r>
    </w:p>
    <w:p w14:paraId="2EBD5DCB"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[7]</w:t>
      </w:r>
      <w:r w:rsidRPr="00F902B7">
        <w:rPr>
          <w:noProof/>
          <w:sz w:val="16"/>
          <w:szCs w:val="16"/>
        </w:rPr>
        <w:tab/>
        <w:t xml:space="preserve">F. Al-Turjman, H. Zahmatkesh, and L. Mostarda, “Quantifying uncertainty in internet of medical things and big-data services using intelligence and deep learning,” </w:t>
      </w:r>
      <w:r w:rsidRPr="00F902B7">
        <w:rPr>
          <w:i/>
          <w:iCs/>
          <w:noProof/>
          <w:sz w:val="16"/>
          <w:szCs w:val="16"/>
        </w:rPr>
        <w:t>IEEE Access</w:t>
      </w:r>
      <w:r w:rsidRPr="00F902B7">
        <w:rPr>
          <w:noProof/>
          <w:sz w:val="16"/>
          <w:szCs w:val="16"/>
        </w:rPr>
        <w:t>, vol. 7, pp. 115749–115759, 2019, doi: 10.1109/ACCESS.2019.2931637.</w:t>
      </w:r>
    </w:p>
    <w:p w14:paraId="31C40465"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[8]</w:t>
      </w:r>
      <w:r w:rsidRPr="00F902B7">
        <w:rPr>
          <w:noProof/>
          <w:sz w:val="16"/>
          <w:szCs w:val="16"/>
        </w:rPr>
        <w:tab/>
        <w:t xml:space="preserve">S. Kumar and M. Singh, “Big data analytics for healthcare industry: Impact, applications, and tools,” </w:t>
      </w:r>
      <w:r w:rsidRPr="00F902B7">
        <w:rPr>
          <w:i/>
          <w:iCs/>
          <w:noProof/>
          <w:sz w:val="16"/>
          <w:szCs w:val="16"/>
        </w:rPr>
        <w:t>Big Data Min. Anal.</w:t>
      </w:r>
      <w:r w:rsidRPr="00F902B7">
        <w:rPr>
          <w:noProof/>
          <w:sz w:val="16"/>
          <w:szCs w:val="16"/>
        </w:rPr>
        <w:t>, vol. 2, no. 1, pp. 48–57, 2019, doi: 10.26599/BDMA.2018.9020031.</w:t>
      </w:r>
    </w:p>
    <w:p w14:paraId="47E973C1"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[9]</w:t>
      </w:r>
      <w:r w:rsidRPr="00F902B7">
        <w:rPr>
          <w:noProof/>
          <w:sz w:val="16"/>
          <w:szCs w:val="16"/>
        </w:rPr>
        <w:tab/>
        <w:t xml:space="preserve">L. M. Ang, K. P. Seng, G. K. Ijemaru, and A. M. Zungeru, “Deployment of IoV for Smart Cities: Applications, Architecture, and </w:t>
      </w:r>
      <w:r w:rsidRPr="00F902B7">
        <w:rPr>
          <w:noProof/>
          <w:sz w:val="16"/>
          <w:szCs w:val="16"/>
        </w:rPr>
        <w:lastRenderedPageBreak/>
        <w:t xml:space="preserve">Challenges,” </w:t>
      </w:r>
      <w:r w:rsidRPr="00F902B7">
        <w:rPr>
          <w:i/>
          <w:iCs/>
          <w:noProof/>
          <w:sz w:val="16"/>
          <w:szCs w:val="16"/>
        </w:rPr>
        <w:t>IEEE Access</w:t>
      </w:r>
      <w:r w:rsidRPr="00F902B7">
        <w:rPr>
          <w:noProof/>
          <w:sz w:val="16"/>
          <w:szCs w:val="16"/>
        </w:rPr>
        <w:t>, vol. 7, pp. 6473–6492, 2019, doi: 10.1109/ACCESS.2018.2887076.</w:t>
      </w:r>
    </w:p>
    <w:p w14:paraId="620A7D84"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[10]</w:t>
      </w:r>
      <w:r w:rsidRPr="00F902B7">
        <w:rPr>
          <w:noProof/>
          <w:sz w:val="16"/>
          <w:szCs w:val="16"/>
        </w:rPr>
        <w:tab/>
        <w:t xml:space="preserve">B. P. L. Lau </w:t>
      </w:r>
      <w:r w:rsidRPr="00F902B7">
        <w:rPr>
          <w:i/>
          <w:iCs/>
          <w:noProof/>
          <w:sz w:val="16"/>
          <w:szCs w:val="16"/>
        </w:rPr>
        <w:t>et al.</w:t>
      </w:r>
      <w:r w:rsidRPr="00F902B7">
        <w:rPr>
          <w:noProof/>
          <w:sz w:val="16"/>
          <w:szCs w:val="16"/>
        </w:rPr>
        <w:t xml:space="preserve">, “A survey of data fusion in smart city applications,” </w:t>
      </w:r>
      <w:r w:rsidRPr="00F902B7">
        <w:rPr>
          <w:i/>
          <w:iCs/>
          <w:noProof/>
          <w:sz w:val="16"/>
          <w:szCs w:val="16"/>
        </w:rPr>
        <w:t>Inf. Fusion</w:t>
      </w:r>
      <w:r w:rsidRPr="00F902B7">
        <w:rPr>
          <w:noProof/>
          <w:sz w:val="16"/>
          <w:szCs w:val="16"/>
        </w:rPr>
        <w:t>, vol. 52, no. January, pp. 357–374, 2019, doi: 10.1016/j.inffus.2019.05.004.</w:t>
      </w:r>
    </w:p>
    <w:p w14:paraId="477E18F4"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[11]</w:t>
      </w:r>
      <w:r w:rsidRPr="00F902B7">
        <w:rPr>
          <w:noProof/>
          <w:sz w:val="16"/>
          <w:szCs w:val="16"/>
        </w:rPr>
        <w:tab/>
        <w:t xml:space="preserve">Y. Wu </w:t>
      </w:r>
      <w:r w:rsidRPr="00F902B7">
        <w:rPr>
          <w:i/>
          <w:iCs/>
          <w:noProof/>
          <w:sz w:val="16"/>
          <w:szCs w:val="16"/>
        </w:rPr>
        <w:t>et al.</w:t>
      </w:r>
      <w:r w:rsidRPr="00F902B7">
        <w:rPr>
          <w:noProof/>
          <w:sz w:val="16"/>
          <w:szCs w:val="16"/>
        </w:rPr>
        <w:t xml:space="preserve">, “Large scale incremental learning,” </w:t>
      </w:r>
      <w:r w:rsidRPr="00F902B7">
        <w:rPr>
          <w:i/>
          <w:iCs/>
          <w:noProof/>
          <w:sz w:val="16"/>
          <w:szCs w:val="16"/>
        </w:rPr>
        <w:t>Proc. IEEE Comput. Soc. Conf. Comput. Vis. Pattern Recognit.</w:t>
      </w:r>
      <w:r w:rsidRPr="00F902B7">
        <w:rPr>
          <w:noProof/>
          <w:sz w:val="16"/>
          <w:szCs w:val="16"/>
        </w:rPr>
        <w:t>, vol. 2019-June, pp. 374–382, 2019, doi: 10.1109/CVPR.2019.00046.</w:t>
      </w:r>
    </w:p>
    <w:p w14:paraId="4B9026FA"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[12]</w:t>
      </w:r>
      <w:r w:rsidRPr="00F902B7">
        <w:rPr>
          <w:noProof/>
          <w:sz w:val="16"/>
          <w:szCs w:val="16"/>
        </w:rPr>
        <w:tab/>
        <w:t xml:space="preserve">A. Mosavi, S. Shamshirband, E. Salwana, K. wing Chau, and J. H. M. Tah, “Prediction of multi-inputs bubble column reactor using a novel hybrid model of computational fluid dynamics and machine learning,” </w:t>
      </w:r>
      <w:r w:rsidRPr="00F902B7">
        <w:rPr>
          <w:i/>
          <w:iCs/>
          <w:noProof/>
          <w:sz w:val="16"/>
          <w:szCs w:val="16"/>
        </w:rPr>
        <w:t>Eng. Appl. Comput. Fluid Mech.</w:t>
      </w:r>
      <w:r w:rsidRPr="00F902B7">
        <w:rPr>
          <w:noProof/>
          <w:sz w:val="16"/>
          <w:szCs w:val="16"/>
        </w:rPr>
        <w:t>, vol. 13, no. 1, pp. 482–492, 2019, doi: 10.1080/19942060.2019.1613448.</w:t>
      </w:r>
    </w:p>
    <w:p w14:paraId="74341298" w14:textId="030D2C38" w:rsidR="00E619D6" w:rsidRPr="00F902B7" w:rsidRDefault="00E619D6" w:rsidP="00E619D6">
      <w:pPr>
        <w:widowControl w:val="0"/>
        <w:autoSpaceDE w:val="0"/>
        <w:autoSpaceDN w:val="0"/>
        <w:adjustRightInd w:val="0"/>
        <w:ind w:left="426" w:hanging="426"/>
        <w:jc w:val="both"/>
        <w:rPr>
          <w:noProof/>
          <w:spacing w:val="-2"/>
          <w:sz w:val="16"/>
          <w:szCs w:val="16"/>
        </w:rPr>
      </w:pPr>
      <w:r w:rsidRPr="00F902B7">
        <w:rPr>
          <w:noProof/>
          <w:sz w:val="16"/>
          <w:szCs w:val="16"/>
        </w:rPr>
        <w:t>[13]</w:t>
      </w:r>
      <w:r w:rsidRPr="00F902B7">
        <w:rPr>
          <w:noProof/>
          <w:sz w:val="16"/>
          <w:szCs w:val="16"/>
        </w:rPr>
        <w:tab/>
      </w:r>
      <w:r w:rsidRPr="00F902B7">
        <w:rPr>
          <w:noProof/>
          <w:spacing w:val="-2"/>
          <w:sz w:val="16"/>
          <w:szCs w:val="16"/>
        </w:rPr>
        <w:t xml:space="preserve">V. Palanisamy and R. Thirunavukarasu, “Implications of big data analytics in developing healthcare frameworks – A review,” </w:t>
      </w:r>
      <w:r w:rsidRPr="00F902B7">
        <w:rPr>
          <w:i/>
          <w:iCs/>
          <w:noProof/>
          <w:spacing w:val="-2"/>
          <w:sz w:val="16"/>
          <w:szCs w:val="16"/>
        </w:rPr>
        <w:t>J. King Saud Univ. - Comput. Inf. Sci.</w:t>
      </w:r>
      <w:r w:rsidRPr="00F902B7">
        <w:rPr>
          <w:noProof/>
          <w:spacing w:val="-2"/>
          <w:sz w:val="16"/>
          <w:szCs w:val="16"/>
        </w:rPr>
        <w:t>, vol. 31, no. 4, pp. 415–425, 2019, doi: 10.1016/j.jksuci.2017.12.007.</w:t>
      </w:r>
    </w:p>
    <w:p w14:paraId="0CBA3FE4"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[14]</w:t>
      </w:r>
      <w:r w:rsidRPr="00F902B7">
        <w:rPr>
          <w:noProof/>
          <w:sz w:val="16"/>
          <w:szCs w:val="16"/>
        </w:rPr>
        <w:tab/>
        <w:t xml:space="preserve">J. Sadowski, “When data is capital: Datafication, accumulation, and extraction,” </w:t>
      </w:r>
      <w:r w:rsidRPr="00F902B7">
        <w:rPr>
          <w:i/>
          <w:iCs/>
          <w:noProof/>
          <w:sz w:val="16"/>
          <w:szCs w:val="16"/>
        </w:rPr>
        <w:t>Big Data Soc.</w:t>
      </w:r>
      <w:r w:rsidRPr="00F902B7">
        <w:rPr>
          <w:noProof/>
          <w:sz w:val="16"/>
          <w:szCs w:val="16"/>
        </w:rPr>
        <w:t>, vol. 6, no. 1, pp. 1–12, 2019, doi: 10.1177/2053951718820549.</w:t>
      </w:r>
    </w:p>
    <w:p w14:paraId="6031CC3E"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[15]</w:t>
      </w:r>
      <w:r w:rsidRPr="00F902B7">
        <w:rPr>
          <w:noProof/>
          <w:sz w:val="16"/>
          <w:szCs w:val="16"/>
        </w:rPr>
        <w:tab/>
        <w:t xml:space="preserve">J. R. Saura, B. R. Herraez, and A. Reyes-Menendez, “Comparing a traditional approach for financial brand communication analysis with a big data analytics technique,” </w:t>
      </w:r>
      <w:r w:rsidRPr="00F902B7">
        <w:rPr>
          <w:i/>
          <w:iCs/>
          <w:noProof/>
          <w:sz w:val="16"/>
          <w:szCs w:val="16"/>
        </w:rPr>
        <w:t>IEEE Access</w:t>
      </w:r>
      <w:r w:rsidRPr="00F902B7">
        <w:rPr>
          <w:noProof/>
          <w:sz w:val="16"/>
          <w:szCs w:val="16"/>
        </w:rPr>
        <w:t>, vol. 7, pp. 37100–37108, 2019, doi: 10.1109/ACCESS.2019.2905301.</w:t>
      </w:r>
    </w:p>
    <w:p w14:paraId="71754C20"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[16]</w:t>
      </w:r>
      <w:r w:rsidRPr="00F902B7">
        <w:rPr>
          <w:noProof/>
          <w:sz w:val="16"/>
          <w:szCs w:val="16"/>
        </w:rPr>
        <w:tab/>
        <w:t xml:space="preserve">D. Nallaperuma </w:t>
      </w:r>
      <w:r w:rsidRPr="00F902B7">
        <w:rPr>
          <w:i/>
          <w:iCs/>
          <w:noProof/>
          <w:sz w:val="16"/>
          <w:szCs w:val="16"/>
        </w:rPr>
        <w:t>et al.</w:t>
      </w:r>
      <w:r w:rsidRPr="00F902B7">
        <w:rPr>
          <w:noProof/>
          <w:sz w:val="16"/>
          <w:szCs w:val="16"/>
        </w:rPr>
        <w:t xml:space="preserve">, “Online Incremental Machine Learning Platform for Big Data-Driven Smart Traffic Management,” </w:t>
      </w:r>
      <w:r w:rsidRPr="00F902B7">
        <w:rPr>
          <w:i/>
          <w:iCs/>
          <w:noProof/>
          <w:sz w:val="16"/>
          <w:szCs w:val="16"/>
        </w:rPr>
        <w:t>IEEE Trans. Intell. Transp. Syst.</w:t>
      </w:r>
      <w:r w:rsidRPr="00F902B7">
        <w:rPr>
          <w:noProof/>
          <w:sz w:val="16"/>
          <w:szCs w:val="16"/>
        </w:rPr>
        <w:t>, vol. 20, no. 12, pp. 4679–4690, 2019, doi: 10.1109/TITS.2019.2924883.</w:t>
      </w:r>
    </w:p>
    <w:p w14:paraId="3BF64D27"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[17]</w:t>
      </w:r>
      <w:r w:rsidRPr="00F902B7">
        <w:rPr>
          <w:noProof/>
          <w:sz w:val="16"/>
          <w:szCs w:val="16"/>
        </w:rPr>
        <w:tab/>
        <w:t xml:space="preserve">S. Schulz, M. Becker, M. R. Groseclose, S. Schadt, and C. Hopf, “Advanced MALDI mass spectrometry imaging in pharmaceutical research and drug development,” </w:t>
      </w:r>
      <w:r w:rsidRPr="00F902B7">
        <w:rPr>
          <w:i/>
          <w:iCs/>
          <w:noProof/>
          <w:sz w:val="16"/>
          <w:szCs w:val="16"/>
        </w:rPr>
        <w:t>Curr. Opin. Biotechnol.</w:t>
      </w:r>
      <w:r w:rsidRPr="00F902B7">
        <w:rPr>
          <w:noProof/>
          <w:sz w:val="16"/>
          <w:szCs w:val="16"/>
        </w:rPr>
        <w:t>, vol. 55, pp. 51–59, 2019, doi: 10.1016/j.copbio.2018.08.003.</w:t>
      </w:r>
    </w:p>
    <w:p w14:paraId="72FAAFCD"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[18]</w:t>
      </w:r>
      <w:r w:rsidRPr="00F902B7">
        <w:rPr>
          <w:noProof/>
          <w:sz w:val="16"/>
          <w:szCs w:val="16"/>
        </w:rPr>
        <w:tab/>
        <w:t xml:space="preserve">C. Shang and F. You, “Data Analytics and Machine Learning for Smart Process Manufacturing: Recent Advances and Perspectives in the Big Data Era,” </w:t>
      </w:r>
      <w:r w:rsidRPr="00F902B7">
        <w:rPr>
          <w:i/>
          <w:iCs/>
          <w:noProof/>
          <w:sz w:val="16"/>
          <w:szCs w:val="16"/>
        </w:rPr>
        <w:t>Engineering</w:t>
      </w:r>
      <w:r w:rsidRPr="00F902B7">
        <w:rPr>
          <w:noProof/>
          <w:sz w:val="16"/>
          <w:szCs w:val="16"/>
        </w:rPr>
        <w:t>, vol. 5, no. 6, pp. 1010–1016, 2019, doi: 10.1016/j.eng.2019.01.019.</w:t>
      </w:r>
    </w:p>
    <w:p w14:paraId="16373520"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[19]</w:t>
      </w:r>
      <w:r w:rsidRPr="00F902B7">
        <w:rPr>
          <w:noProof/>
          <w:sz w:val="16"/>
          <w:szCs w:val="16"/>
        </w:rPr>
        <w:tab/>
        <w:t xml:space="preserve">Y. Yu, M. Li, L. Liu, Y. Li, and J. Wang, “Clinical big data and deep learning: Applications, challenges, and future outlooks,” </w:t>
      </w:r>
      <w:r w:rsidRPr="00F902B7">
        <w:rPr>
          <w:i/>
          <w:iCs/>
          <w:noProof/>
          <w:sz w:val="16"/>
          <w:szCs w:val="16"/>
        </w:rPr>
        <w:t>Big Data Min. Anal.</w:t>
      </w:r>
      <w:r w:rsidRPr="00F902B7">
        <w:rPr>
          <w:noProof/>
          <w:sz w:val="16"/>
          <w:szCs w:val="16"/>
        </w:rPr>
        <w:t>, vol. 2, no. 4, pp. 288–305, 2019, doi: 10.26599/BDMA.2019.9020007.</w:t>
      </w:r>
    </w:p>
    <w:p w14:paraId="5EFDC498"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[20]</w:t>
      </w:r>
      <w:r w:rsidRPr="00F902B7">
        <w:rPr>
          <w:noProof/>
          <w:sz w:val="16"/>
          <w:szCs w:val="16"/>
        </w:rPr>
        <w:tab/>
        <w:t xml:space="preserve">M. Huang, W. Liu, T. Wang, H. Song, X. Li, and A. Liu, “A queuing delay utilization scheme for on-path service aggregation in services-oriented computing networks,” </w:t>
      </w:r>
      <w:r w:rsidRPr="00F902B7">
        <w:rPr>
          <w:i/>
          <w:iCs/>
          <w:noProof/>
          <w:sz w:val="16"/>
          <w:szCs w:val="16"/>
        </w:rPr>
        <w:t>IEEE Access</w:t>
      </w:r>
      <w:r w:rsidRPr="00F902B7">
        <w:rPr>
          <w:noProof/>
          <w:sz w:val="16"/>
          <w:szCs w:val="16"/>
        </w:rPr>
        <w:t>, vol. 7, pp. 23816–23833, 2019, doi: 10.1109/ACCESS.2019.2899402.</w:t>
      </w:r>
    </w:p>
    <w:p w14:paraId="486BEF5B"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[21]</w:t>
      </w:r>
      <w:r w:rsidRPr="00F902B7">
        <w:rPr>
          <w:noProof/>
          <w:sz w:val="16"/>
          <w:szCs w:val="16"/>
        </w:rPr>
        <w:tab/>
        <w:t xml:space="preserve">G. Xu, Y. Shi, X. Sun, and W. Shen, “Internet of things in marine environment monitoring: A review,” </w:t>
      </w:r>
      <w:r w:rsidRPr="00F902B7">
        <w:rPr>
          <w:i/>
          <w:iCs/>
          <w:noProof/>
          <w:sz w:val="16"/>
          <w:szCs w:val="16"/>
        </w:rPr>
        <w:t>Sensors (Switzerland)</w:t>
      </w:r>
      <w:r w:rsidRPr="00F902B7">
        <w:rPr>
          <w:noProof/>
          <w:sz w:val="16"/>
          <w:szCs w:val="16"/>
        </w:rPr>
        <w:t>, vol. 19, no. 7, pp. 1–21, 2019, doi: 10.3390/s19071711.</w:t>
      </w:r>
    </w:p>
    <w:p w14:paraId="6FCA64BA"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[22]</w:t>
      </w:r>
      <w:r w:rsidRPr="00F902B7">
        <w:rPr>
          <w:noProof/>
          <w:sz w:val="16"/>
          <w:szCs w:val="16"/>
        </w:rPr>
        <w:tab/>
        <w:t xml:space="preserve">M. Aqib, R. Mehmood, A. Alzahrani, I. Katib, A. Albeshri, and S. M. Altowaijri, </w:t>
      </w:r>
      <w:r w:rsidRPr="00F902B7">
        <w:rPr>
          <w:i/>
          <w:iCs/>
          <w:noProof/>
          <w:sz w:val="16"/>
          <w:szCs w:val="16"/>
        </w:rPr>
        <w:t>Smarter traffic prediction using big data, in-memory computing, deep learning and gpus</w:t>
      </w:r>
      <w:r w:rsidRPr="00F902B7">
        <w:rPr>
          <w:noProof/>
          <w:sz w:val="16"/>
          <w:szCs w:val="16"/>
        </w:rPr>
        <w:t>, vol. 19, no. 9. 2019.</w:t>
      </w:r>
    </w:p>
    <w:p w14:paraId="42871846"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[23]</w:t>
      </w:r>
      <w:r w:rsidRPr="00F902B7">
        <w:rPr>
          <w:noProof/>
          <w:sz w:val="16"/>
          <w:szCs w:val="16"/>
        </w:rPr>
        <w:tab/>
        <w:t xml:space="preserve">S. Leonelli and N. Tempini, </w:t>
      </w:r>
      <w:r w:rsidRPr="00F902B7">
        <w:rPr>
          <w:i/>
          <w:iCs/>
          <w:noProof/>
          <w:sz w:val="16"/>
          <w:szCs w:val="16"/>
        </w:rPr>
        <w:t>Data Journeys in the Sciences</w:t>
      </w:r>
      <w:r w:rsidRPr="00F902B7">
        <w:rPr>
          <w:noProof/>
          <w:sz w:val="16"/>
          <w:szCs w:val="16"/>
        </w:rPr>
        <w:t>. 2020.</w:t>
      </w:r>
    </w:p>
    <w:p w14:paraId="53BB1410"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[24]</w:t>
      </w:r>
      <w:r w:rsidRPr="00F902B7">
        <w:rPr>
          <w:noProof/>
          <w:sz w:val="16"/>
          <w:szCs w:val="16"/>
        </w:rPr>
        <w:tab/>
        <w:t xml:space="preserve">N. Stylos and J. Zwiegelaar, </w:t>
      </w:r>
      <w:r w:rsidRPr="00F902B7">
        <w:rPr>
          <w:i/>
          <w:iCs/>
          <w:noProof/>
          <w:sz w:val="16"/>
          <w:szCs w:val="16"/>
        </w:rPr>
        <w:t>Big Data as a Game Changer: How Does It Shape Business Intelligence Within a Tourism and Hospitality Industry Context?</w:t>
      </w:r>
      <w:r w:rsidRPr="00F902B7">
        <w:rPr>
          <w:noProof/>
          <w:sz w:val="16"/>
          <w:szCs w:val="16"/>
        </w:rPr>
        <w:t xml:space="preserve"> 2019.</w:t>
      </w:r>
    </w:p>
    <w:p w14:paraId="4AFD9376" w14:textId="77777777" w:rsidR="00E619D6" w:rsidRPr="00F902B7" w:rsidRDefault="00E619D6" w:rsidP="00E619D6">
      <w:pPr>
        <w:widowControl w:val="0"/>
        <w:autoSpaceDE w:val="0"/>
        <w:autoSpaceDN w:val="0"/>
        <w:adjustRightInd w:val="0"/>
        <w:ind w:left="426" w:hanging="426"/>
        <w:jc w:val="both"/>
        <w:rPr>
          <w:noProof/>
          <w:sz w:val="16"/>
          <w:szCs w:val="16"/>
        </w:rPr>
      </w:pPr>
      <w:r w:rsidRPr="00F902B7">
        <w:rPr>
          <w:noProof/>
          <w:sz w:val="16"/>
          <w:szCs w:val="16"/>
        </w:rPr>
        <w:t>[25]</w:t>
      </w:r>
      <w:r w:rsidRPr="00F902B7">
        <w:rPr>
          <w:noProof/>
          <w:sz w:val="16"/>
          <w:szCs w:val="16"/>
        </w:rPr>
        <w:tab/>
        <w:t xml:space="preserve">Q. Song, H. Ge, J. Caverlee, and X. Hu, “Tensor completion algorithms in big data analytics,” </w:t>
      </w:r>
      <w:r w:rsidRPr="00F902B7">
        <w:rPr>
          <w:i/>
          <w:iCs/>
          <w:noProof/>
          <w:sz w:val="16"/>
          <w:szCs w:val="16"/>
        </w:rPr>
        <w:t>arXiv</w:t>
      </w:r>
      <w:r w:rsidRPr="00F902B7">
        <w:rPr>
          <w:noProof/>
          <w:sz w:val="16"/>
          <w:szCs w:val="16"/>
        </w:rPr>
        <w:t>, vol. 13, no. 1, 2017.</w:t>
      </w:r>
    </w:p>
    <w:p w14:paraId="7D0EF40C" w14:textId="77777777" w:rsidR="00E619D6" w:rsidRPr="005D120D" w:rsidRDefault="00E619D6" w:rsidP="00E619D6">
      <w:pPr>
        <w:ind w:left="426" w:hanging="426"/>
        <w:jc w:val="both"/>
        <w:rPr>
          <w:color w:val="000000"/>
        </w:rPr>
      </w:pPr>
      <w:r w:rsidRPr="003D6B19">
        <w:rPr>
          <w:color w:val="000000"/>
          <w:sz w:val="18"/>
          <w:szCs w:val="18"/>
        </w:rPr>
        <w:fldChar w:fldCharType="end"/>
      </w:r>
    </w:p>
    <w:p w14:paraId="41B57CED" w14:textId="77777777" w:rsidR="00E619D6" w:rsidRPr="003D6B19" w:rsidRDefault="00E619D6" w:rsidP="00E619D6">
      <w:pPr>
        <w:ind w:left="426" w:hanging="426"/>
        <w:jc w:val="both"/>
        <w:rPr>
          <w:color w:val="000000"/>
        </w:rPr>
      </w:pPr>
    </w:p>
    <w:p w14:paraId="6A8660A5" w14:textId="295692E8" w:rsidR="00E619D6" w:rsidRDefault="00E619D6" w:rsidP="00E619D6">
      <w:pPr>
        <w:rPr>
          <w:b/>
          <w:bCs/>
        </w:rPr>
      </w:pPr>
      <w:r w:rsidRPr="003D6B19">
        <w:rPr>
          <w:rStyle w:val="apple-style-span"/>
          <w:b/>
          <w:color w:val="000000"/>
          <w:lang w:val="pt-BR"/>
        </w:rPr>
        <w:t xml:space="preserve">BIOGRAPHIES OF AUTHORS </w:t>
      </w:r>
      <w:r w:rsidRPr="003D6B19">
        <w:rPr>
          <w:b/>
          <w:bCs/>
        </w:rPr>
        <w:t xml:space="preserve">(10 PT) </w:t>
      </w:r>
    </w:p>
    <w:p w14:paraId="794E84FA" w14:textId="77777777" w:rsidR="00FF33B7" w:rsidRPr="003D6B19" w:rsidRDefault="00FF33B7" w:rsidP="00E619D6">
      <w:pPr>
        <w:rPr>
          <w:b/>
          <w:bCs/>
        </w:rPr>
      </w:pPr>
    </w:p>
    <w:p w14:paraId="270D2187" w14:textId="77777777" w:rsidR="00153B62" w:rsidRPr="003D6B19" w:rsidRDefault="00153B62" w:rsidP="00153B62">
      <w:pPr>
        <w:rPr>
          <w:b/>
          <w:bCs/>
        </w:rPr>
      </w:pPr>
      <w:r w:rsidRPr="003D6B19">
        <w:rPr>
          <w:b/>
          <w:bCs/>
        </w:rPr>
        <w:t>The recommended number of authors is at least 2. One of them as a corresponding author.</w:t>
      </w:r>
    </w:p>
    <w:p w14:paraId="3DCC128F" w14:textId="588C2548" w:rsidR="00153B62" w:rsidRPr="008B4221" w:rsidRDefault="00153B62" w:rsidP="00153B62">
      <w:pPr>
        <w:rPr>
          <w:i/>
          <w:iCs/>
          <w:sz w:val="18"/>
          <w:szCs w:val="18"/>
        </w:rPr>
      </w:pPr>
      <w:bookmarkStart w:id="27" w:name="_Hlk78375417"/>
      <w:r w:rsidRPr="008B4221">
        <w:rPr>
          <w:i/>
          <w:iCs/>
          <w:sz w:val="18"/>
          <w:szCs w:val="18"/>
        </w:rPr>
        <w:t>Please attach clear photo (3x4 cm) and vita. Example of biographies of authors</w:t>
      </w:r>
      <w:r w:rsidR="008B4221">
        <w:rPr>
          <w:i/>
          <w:iCs/>
          <w:sz w:val="18"/>
          <w:szCs w:val="18"/>
        </w:rPr>
        <w:t xml:space="preserve"> (9 </w:t>
      </w:r>
      <w:proofErr w:type="spellStart"/>
      <w:r w:rsidR="008B4221">
        <w:rPr>
          <w:i/>
          <w:iCs/>
          <w:sz w:val="18"/>
          <w:szCs w:val="18"/>
        </w:rPr>
        <w:t>pt</w:t>
      </w:r>
      <w:proofErr w:type="spellEnd"/>
      <w:r w:rsidR="008B4221">
        <w:rPr>
          <w:i/>
          <w:iCs/>
          <w:sz w:val="18"/>
          <w:szCs w:val="18"/>
        </w:rPr>
        <w:t>)</w:t>
      </w:r>
      <w:r w:rsidRPr="008B4221">
        <w:rPr>
          <w:i/>
          <w:iCs/>
          <w:sz w:val="18"/>
          <w:szCs w:val="18"/>
        </w:rPr>
        <w:t>:</w:t>
      </w:r>
    </w:p>
    <w:bookmarkEnd w:id="27"/>
    <w:p w14:paraId="58F0C71C" w14:textId="77777777" w:rsidR="00153B62" w:rsidRPr="003D6B19" w:rsidRDefault="00153B62" w:rsidP="00153B62">
      <w:pPr>
        <w:rPr>
          <w:i/>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88"/>
      </w:tblGrid>
      <w:tr w:rsidR="00D4255A" w:rsidRPr="003D6B19" w14:paraId="5F538DA9" w14:textId="77777777" w:rsidTr="005C5BD1">
        <w:tc>
          <w:tcPr>
            <w:tcW w:w="1951" w:type="dxa"/>
          </w:tcPr>
          <w:p w14:paraId="31299946" w14:textId="77777777" w:rsidR="00D4255A" w:rsidRPr="003D6B19" w:rsidRDefault="00D4255A" w:rsidP="005C5BD1">
            <w:pPr>
              <w:jc w:val="center"/>
              <w:rPr>
                <w:noProof/>
              </w:rPr>
            </w:pPr>
            <w:bookmarkStart w:id="28" w:name="_Hlk78354998"/>
            <w:r w:rsidRPr="00090546">
              <w:rPr>
                <w:noProof/>
              </w:rPr>
              <w:drawing>
                <wp:inline distT="0" distB="0" distL="0" distR="0" wp14:anchorId="4BED4223" wp14:editId="680F267C">
                  <wp:extent cx="1080000" cy="1440000"/>
                  <wp:effectExtent l="0" t="0" r="6350" b="8255"/>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tc>
        <w:tc>
          <w:tcPr>
            <w:tcW w:w="7088" w:type="dxa"/>
          </w:tcPr>
          <w:p w14:paraId="23E9E71A" w14:textId="77777777" w:rsidR="00D4255A" w:rsidRPr="00917EBE" w:rsidRDefault="00D4255A" w:rsidP="005C5BD1">
            <w:pPr>
              <w:jc w:val="both"/>
              <w:rPr>
                <w:color w:val="000000"/>
                <w:sz w:val="18"/>
                <w:szCs w:val="18"/>
              </w:rPr>
            </w:pPr>
            <w:proofErr w:type="spellStart"/>
            <w:r w:rsidRPr="00917EBE">
              <w:rPr>
                <w:b/>
                <w:bCs/>
                <w:color w:val="000000"/>
                <w:sz w:val="18"/>
                <w:szCs w:val="18"/>
              </w:rPr>
              <w:t>Suttichai</w:t>
            </w:r>
            <w:proofErr w:type="spellEnd"/>
            <w:r w:rsidRPr="00917EBE">
              <w:rPr>
                <w:b/>
                <w:bCs/>
                <w:color w:val="000000"/>
                <w:sz w:val="18"/>
                <w:szCs w:val="18"/>
              </w:rPr>
              <w:t xml:space="preserve"> </w:t>
            </w:r>
            <w:proofErr w:type="spellStart"/>
            <w:r w:rsidRPr="00917EBE">
              <w:rPr>
                <w:b/>
                <w:bCs/>
                <w:color w:val="000000"/>
                <w:sz w:val="18"/>
                <w:szCs w:val="18"/>
              </w:rPr>
              <w:t>Premrudeeprechacharn</w:t>
            </w:r>
            <w:proofErr w:type="spellEnd"/>
            <w:r>
              <w:rPr>
                <w:b/>
                <w:bCs/>
                <w:color w:val="000000"/>
                <w:sz w:val="18"/>
                <w:szCs w:val="18"/>
              </w:rPr>
              <w:t xml:space="preserve"> </w:t>
            </w:r>
            <w:r>
              <w:rPr>
                <w:noProof/>
                <w:color w:val="000000"/>
                <w:sz w:val="18"/>
                <w:szCs w:val="18"/>
              </w:rPr>
              <w:drawing>
                <wp:inline distT="0" distB="0" distL="0" distR="0" wp14:anchorId="284440DC" wp14:editId="5D78FB48">
                  <wp:extent cx="114935" cy="114935"/>
                  <wp:effectExtent l="0" t="0" r="0" b="0"/>
                  <wp:docPr id="30" name="Picture 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054CDE50" wp14:editId="70F95EC7">
                  <wp:extent cx="114935" cy="114935"/>
                  <wp:effectExtent l="0" t="0" r="0" b="0"/>
                  <wp:docPr id="31" name="Picture 3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29B5EF95" wp14:editId="43B4E133">
                  <wp:extent cx="114935" cy="114935"/>
                  <wp:effectExtent l="0" t="0" r="0" b="0"/>
                  <wp:docPr id="32" name="Graphic 32">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32" name="Graphic 32">
                            <a:hlinkClick r:id="rId20"/>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rPr>
              <w:drawing>
                <wp:inline distT="0" distB="0" distL="0" distR="0" wp14:anchorId="0D30329A" wp14:editId="0D1205F4">
                  <wp:extent cx="114935" cy="114935"/>
                  <wp:effectExtent l="0" t="0" r="0" b="0"/>
                  <wp:docPr id="33" name="Picture 3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sidRPr="00090546">
              <w:rPr>
                <w:color w:val="000000"/>
                <w:sz w:val="18"/>
                <w:szCs w:val="18"/>
              </w:rPr>
              <w:t>received the B.Eng. degree in electrical engineering from Chiang Mai University, Thailand, in 1988 and the M.S. and Ph.D. degrees in electric power engineering from Rensselaer Polytechnic Institute, Troy, NY, in 1992 and 1997, respectively. Currently, he is an Associate Professor at the Department of Electrical Engineering, Chiang Mai University. His research interests include renewable energy, power quality, high quality utility interface, power electronics</w:t>
            </w:r>
            <w:r>
              <w:rPr>
                <w:color w:val="000000"/>
                <w:sz w:val="18"/>
                <w:szCs w:val="18"/>
              </w:rPr>
              <w:t xml:space="preserve">, </w:t>
            </w:r>
            <w:r w:rsidRPr="00917EBE">
              <w:rPr>
                <w:color w:val="000000"/>
                <w:sz w:val="18"/>
                <w:szCs w:val="18"/>
              </w:rPr>
              <w:t xml:space="preserve">power generation, power grids, power supply quality, power transmission reliability, relay protection, power system stability, power transmission lines, power transmission planning, power transmission protection, battery chargers, circuit breakers, harmonic distortion, hydroelectric power stations, load flow control, overcurrent protection, particle swarm </w:t>
            </w:r>
            <w:proofErr w:type="spellStart"/>
            <w:r w:rsidRPr="00917EBE">
              <w:rPr>
                <w:color w:val="000000"/>
                <w:sz w:val="18"/>
                <w:szCs w:val="18"/>
              </w:rPr>
              <w:t>optimisation</w:t>
            </w:r>
            <w:proofErr w:type="spellEnd"/>
            <w:r w:rsidRPr="00917EBE">
              <w:rPr>
                <w:color w:val="000000"/>
                <w:sz w:val="18"/>
                <w:szCs w:val="18"/>
              </w:rPr>
              <w:t xml:space="preserve">, power distribution protection, </w:t>
            </w:r>
            <w:r w:rsidRPr="00090546">
              <w:rPr>
                <w:color w:val="000000"/>
                <w:sz w:val="18"/>
                <w:szCs w:val="18"/>
              </w:rPr>
              <w:t>and artificial intelligence applied power system.</w:t>
            </w:r>
            <w:r>
              <w:rPr>
                <w:color w:val="000000"/>
                <w:sz w:val="18"/>
                <w:szCs w:val="18"/>
              </w:rPr>
              <w:t xml:space="preserve"> </w:t>
            </w:r>
            <w:r w:rsidRPr="00851B56">
              <w:rPr>
                <w:color w:val="000000"/>
                <w:sz w:val="18"/>
                <w:szCs w:val="18"/>
              </w:rPr>
              <w:t xml:space="preserve">He can be contacted at email: </w:t>
            </w:r>
            <w:r>
              <w:rPr>
                <w:color w:val="000000"/>
                <w:sz w:val="18"/>
                <w:szCs w:val="18"/>
              </w:rPr>
              <w:t>suttichai</w:t>
            </w:r>
            <w:r w:rsidRPr="00851B56">
              <w:rPr>
                <w:color w:val="000000"/>
                <w:sz w:val="18"/>
                <w:szCs w:val="18"/>
              </w:rPr>
              <w:t>@mail.com.</w:t>
            </w:r>
          </w:p>
        </w:tc>
      </w:tr>
      <w:tr w:rsidR="00D4255A" w:rsidRPr="003D6B19" w14:paraId="6A23E991" w14:textId="77777777" w:rsidTr="005C5BD1">
        <w:tc>
          <w:tcPr>
            <w:tcW w:w="1951" w:type="dxa"/>
          </w:tcPr>
          <w:p w14:paraId="236E7599" w14:textId="77777777" w:rsidR="00D4255A" w:rsidRPr="003D6B19" w:rsidRDefault="00D4255A" w:rsidP="005C5BD1">
            <w:pPr>
              <w:jc w:val="center"/>
              <w:rPr>
                <w:noProof/>
              </w:rPr>
            </w:pPr>
          </w:p>
        </w:tc>
        <w:tc>
          <w:tcPr>
            <w:tcW w:w="7088" w:type="dxa"/>
          </w:tcPr>
          <w:p w14:paraId="5FA222F5" w14:textId="77777777" w:rsidR="00D4255A" w:rsidRPr="003D6B19" w:rsidRDefault="00D4255A" w:rsidP="005C5BD1">
            <w:pPr>
              <w:jc w:val="both"/>
              <w:rPr>
                <w:b/>
                <w:bCs/>
                <w:color w:val="000000"/>
                <w:sz w:val="18"/>
                <w:szCs w:val="18"/>
              </w:rPr>
            </w:pPr>
          </w:p>
        </w:tc>
      </w:tr>
      <w:tr w:rsidR="00D4255A" w:rsidRPr="003D6B19" w14:paraId="70503E5F" w14:textId="77777777" w:rsidTr="005C5BD1">
        <w:tc>
          <w:tcPr>
            <w:tcW w:w="1951" w:type="dxa"/>
          </w:tcPr>
          <w:p w14:paraId="7EC45456" w14:textId="77777777" w:rsidR="00D4255A" w:rsidRPr="003D6B19" w:rsidRDefault="00D4255A" w:rsidP="005C5BD1">
            <w:pPr>
              <w:jc w:val="center"/>
              <w:rPr>
                <w:noProof/>
              </w:rPr>
            </w:pPr>
            <w:r w:rsidRPr="009E44AE">
              <w:rPr>
                <w:noProof/>
              </w:rPr>
              <w:drawing>
                <wp:inline distT="0" distB="0" distL="0" distR="0" wp14:anchorId="077B2A7A" wp14:editId="1B192CB7">
                  <wp:extent cx="1080000" cy="1440000"/>
                  <wp:effectExtent l="0" t="0" r="6350" b="8255"/>
                  <wp:docPr id="7" name="Picture 7" descr="C:\Users\MRISEN02\Pictures\ange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SEN02\Pictures\angela2.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2573" r="11302"/>
                          <a:stretch/>
                        </pic:blipFill>
                        <pic:spPr bwMode="auto">
                          <a:xfrm>
                            <a:off x="0" y="0"/>
                            <a:ext cx="108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8" w:type="dxa"/>
          </w:tcPr>
          <w:p w14:paraId="4CE46053" w14:textId="77777777" w:rsidR="00D4255A" w:rsidRPr="003D6B19" w:rsidRDefault="00D4255A" w:rsidP="005C5BD1">
            <w:pPr>
              <w:jc w:val="both"/>
              <w:rPr>
                <w:b/>
                <w:bCs/>
                <w:color w:val="000000"/>
                <w:sz w:val="18"/>
                <w:szCs w:val="18"/>
              </w:rPr>
            </w:pPr>
            <w:r w:rsidRPr="009E44AE">
              <w:rPr>
                <w:b/>
                <w:bCs/>
                <w:color w:val="000000"/>
                <w:sz w:val="18"/>
                <w:szCs w:val="18"/>
              </w:rPr>
              <w:t xml:space="preserve">Angela </w:t>
            </w:r>
            <w:proofErr w:type="spellStart"/>
            <w:r w:rsidRPr="009E44AE">
              <w:rPr>
                <w:b/>
                <w:bCs/>
                <w:color w:val="000000"/>
                <w:sz w:val="18"/>
                <w:szCs w:val="18"/>
              </w:rPr>
              <w:t>Amphawan</w:t>
            </w:r>
            <w:proofErr w:type="spellEnd"/>
            <w:r>
              <w:rPr>
                <w:b/>
                <w:bCs/>
                <w:color w:val="000000"/>
                <w:sz w:val="18"/>
                <w:szCs w:val="18"/>
              </w:rPr>
              <w:t xml:space="preserve"> </w:t>
            </w:r>
            <w:r>
              <w:rPr>
                <w:noProof/>
                <w:color w:val="000000"/>
                <w:sz w:val="18"/>
                <w:szCs w:val="18"/>
              </w:rPr>
              <w:drawing>
                <wp:inline distT="0" distB="0" distL="0" distR="0" wp14:anchorId="2FD52A45" wp14:editId="1FC35EFA">
                  <wp:extent cx="114935" cy="114935"/>
                  <wp:effectExtent l="0" t="0" r="0" b="0"/>
                  <wp:docPr id="23" name="Picture 2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251F625B" wp14:editId="400D061D">
                  <wp:extent cx="114935" cy="114935"/>
                  <wp:effectExtent l="0" t="0" r="0" b="0"/>
                  <wp:docPr id="24" name="Picture 2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2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4EB06432" wp14:editId="6000ADF3">
                  <wp:extent cx="114935" cy="114935"/>
                  <wp:effectExtent l="0" t="0" r="0" b="0"/>
                  <wp:docPr id="25" name="Graphic 25">
                    <a:hlinkClick xmlns:a="http://schemas.openxmlformats.org/drawingml/2006/main" r:id="rId29"/>
                  </wp:docPr>
                  <wp:cNvGraphicFramePr/>
                  <a:graphic xmlns:a="http://schemas.openxmlformats.org/drawingml/2006/main">
                    <a:graphicData uri="http://schemas.openxmlformats.org/drawingml/2006/picture">
                      <pic:pic xmlns:pic="http://schemas.openxmlformats.org/drawingml/2006/picture">
                        <pic:nvPicPr>
                          <pic:cNvPr id="25" name="Graphic 25">
                            <a:hlinkClick r:id="rId30"/>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rPr>
              <w:drawing>
                <wp:inline distT="0" distB="0" distL="0" distR="0" wp14:anchorId="151E30AD" wp14:editId="423E17D1">
                  <wp:extent cx="114935" cy="114935"/>
                  <wp:effectExtent l="0" t="0" r="0" b="0"/>
                  <wp:docPr id="26" name="Picture 2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sidRPr="009E44AE">
              <w:rPr>
                <w:color w:val="000000"/>
                <w:sz w:val="18"/>
                <w:szCs w:val="18"/>
              </w:rPr>
              <w:t xml:space="preserve">holds a PhD in optical communications from University of Oxford, United Kingdom. She is currently Head of the Optical Technology Group at the </w:t>
            </w:r>
            <w:proofErr w:type="spellStart"/>
            <w:r w:rsidRPr="009E44AE">
              <w:rPr>
                <w:color w:val="000000"/>
                <w:sz w:val="18"/>
                <w:szCs w:val="18"/>
              </w:rPr>
              <w:t>Universiti</w:t>
            </w:r>
            <w:proofErr w:type="spellEnd"/>
            <w:r w:rsidRPr="009E44AE">
              <w:rPr>
                <w:color w:val="000000"/>
                <w:sz w:val="18"/>
                <w:szCs w:val="18"/>
              </w:rPr>
              <w:t xml:space="preserve"> Utara Malaysia.  She is also a Fulbright Fellow at Massachusetts Institute of Technology (MIT), Cambridge, USA.  The pervasiveness of the Internet in today’s digital society brings to light her work on digital convergence for media communications, focusing on optical fiber communications, free-space optics and microwave photonics. Her research has been funded by the Fulbright Foundation, Telekom Malaysia and the Malaysian Ministry of Higher Education.  She has been elected on the Scientific Committee and Editorial Review Board for the World Academy of Science, Engineering and Technology.  She is also a research affiliate for the Asia Pacific International Telecommunications Union (ITU) and serves on the Editorial Board for the International Journal of Electrical and Computer Engineering as well as the International Journal of Informatics and Communication Technology.  In addition, she is a reviewer for leading optical journals such as Optics Express, Optics Letters, Journal of Lightwave Technology and IEEE Photonics Journal. </w:t>
            </w:r>
            <w:r>
              <w:rPr>
                <w:color w:val="000000"/>
                <w:sz w:val="18"/>
                <w:szCs w:val="18"/>
              </w:rPr>
              <w:t>Sh</w:t>
            </w:r>
            <w:r w:rsidRPr="00851B56">
              <w:rPr>
                <w:color w:val="000000"/>
                <w:sz w:val="18"/>
                <w:szCs w:val="18"/>
              </w:rPr>
              <w:t xml:space="preserve">e can be contacted at email: </w:t>
            </w:r>
            <w:r w:rsidRPr="009E44AE">
              <w:rPr>
                <w:color w:val="000000"/>
                <w:sz w:val="18"/>
                <w:szCs w:val="18"/>
              </w:rPr>
              <w:t>angela@uum.edu.my</w:t>
            </w:r>
            <w:r w:rsidRPr="00851B56">
              <w:rPr>
                <w:color w:val="000000"/>
                <w:sz w:val="18"/>
                <w:szCs w:val="18"/>
              </w:rPr>
              <w:t>.</w:t>
            </w:r>
          </w:p>
        </w:tc>
      </w:tr>
      <w:tr w:rsidR="00D4255A" w:rsidRPr="003D6B19" w14:paraId="2E017475" w14:textId="77777777" w:rsidTr="001E2F96">
        <w:tc>
          <w:tcPr>
            <w:tcW w:w="1951" w:type="dxa"/>
          </w:tcPr>
          <w:p w14:paraId="5175A3C5" w14:textId="77777777" w:rsidR="00D4255A" w:rsidRPr="003D6B19" w:rsidRDefault="00D4255A" w:rsidP="005C5BD1">
            <w:pPr>
              <w:spacing w:line="360" w:lineRule="auto"/>
              <w:rPr>
                <w:color w:val="000000"/>
                <w:highlight w:val="yellow"/>
                <w:lang w:val="pt-BR"/>
              </w:rPr>
            </w:pPr>
          </w:p>
        </w:tc>
        <w:tc>
          <w:tcPr>
            <w:tcW w:w="7088" w:type="dxa"/>
            <w:tcBorders>
              <w:bottom w:val="single" w:sz="4" w:space="0" w:color="auto"/>
            </w:tcBorders>
          </w:tcPr>
          <w:p w14:paraId="29188DB7" w14:textId="77777777" w:rsidR="00D4255A" w:rsidRPr="003D6B19" w:rsidRDefault="00D4255A" w:rsidP="005C5BD1">
            <w:pPr>
              <w:jc w:val="both"/>
              <w:rPr>
                <w:color w:val="000000"/>
                <w:sz w:val="18"/>
                <w:szCs w:val="18"/>
                <w:highlight w:val="yellow"/>
              </w:rPr>
            </w:pPr>
          </w:p>
        </w:tc>
      </w:tr>
      <w:tr w:rsidR="00D4255A" w:rsidRPr="003D6B19" w14:paraId="52095ACD" w14:textId="77777777" w:rsidTr="001E2F96">
        <w:trPr>
          <w:trHeight w:val="1547"/>
        </w:trPr>
        <w:tc>
          <w:tcPr>
            <w:tcW w:w="1951" w:type="dxa"/>
            <w:vAlign w:val="center"/>
          </w:tcPr>
          <w:p w14:paraId="08DD7138" w14:textId="77777777" w:rsidR="00D4255A" w:rsidRPr="003D6B19" w:rsidRDefault="00D4255A" w:rsidP="005C5BD1">
            <w:pPr>
              <w:jc w:val="center"/>
              <w:rPr>
                <w:color w:val="000000"/>
                <w:highlight w:val="yellow"/>
                <w:lang w:val="pt-BR"/>
              </w:rPr>
            </w:pPr>
            <w:r w:rsidRPr="003D6B19">
              <w:rPr>
                <w:noProof/>
              </w:rPr>
              <w:lastRenderedPageBreak/>
              <w:drawing>
                <wp:inline distT="0" distB="0" distL="0" distR="0" wp14:anchorId="632484E4" wp14:editId="0B0B021D">
                  <wp:extent cx="1080000" cy="1440000"/>
                  <wp:effectExtent l="0" t="0" r="6350" b="825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tc>
        <w:tc>
          <w:tcPr>
            <w:tcW w:w="7088" w:type="dxa"/>
            <w:tcBorders>
              <w:bottom w:val="single" w:sz="4" w:space="0" w:color="auto"/>
            </w:tcBorders>
          </w:tcPr>
          <w:p w14:paraId="324D141D" w14:textId="77777777" w:rsidR="00D4255A" w:rsidRPr="003D6B19" w:rsidRDefault="00D4255A" w:rsidP="005C5BD1">
            <w:pPr>
              <w:jc w:val="both"/>
              <w:rPr>
                <w:color w:val="000000"/>
                <w:highlight w:val="yellow"/>
                <w:lang w:val="pt-BR"/>
              </w:rPr>
            </w:pPr>
            <w:proofErr w:type="spellStart"/>
            <w:r>
              <w:rPr>
                <w:b/>
                <w:bCs/>
                <w:color w:val="000000"/>
                <w:sz w:val="18"/>
                <w:szCs w:val="18"/>
              </w:rPr>
              <w:t>Almoataz</w:t>
            </w:r>
            <w:proofErr w:type="spellEnd"/>
            <w:r>
              <w:rPr>
                <w:b/>
                <w:bCs/>
                <w:color w:val="000000"/>
                <w:sz w:val="18"/>
                <w:szCs w:val="18"/>
              </w:rPr>
              <w:t xml:space="preserve"> Y. Abdelaziz </w:t>
            </w:r>
            <w:r>
              <w:rPr>
                <w:noProof/>
                <w:color w:val="000000"/>
                <w:sz w:val="18"/>
                <w:szCs w:val="18"/>
              </w:rPr>
              <w:drawing>
                <wp:inline distT="0" distB="0" distL="0" distR="0" wp14:anchorId="405CB980" wp14:editId="4045285C">
                  <wp:extent cx="114935" cy="114935"/>
                  <wp:effectExtent l="0" t="0" r="0" b="0"/>
                  <wp:docPr id="19" name="Picture 1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3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382A287D" wp14:editId="44601FCC">
                  <wp:extent cx="114935" cy="114935"/>
                  <wp:effectExtent l="0" t="0" r="0" b="0"/>
                  <wp:docPr id="18" name="Picture 1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34"/>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36B0AD87" wp14:editId="32FDD468">
                  <wp:extent cx="114935" cy="114935"/>
                  <wp:effectExtent l="0" t="0" r="0" b="0"/>
                  <wp:docPr id="17" name="Graphic 17">
                    <a:hlinkClick xmlns:a="http://schemas.openxmlformats.org/drawingml/2006/main" r:id="rId35"/>
                  </wp:docPr>
                  <wp:cNvGraphicFramePr/>
                  <a:graphic xmlns:a="http://schemas.openxmlformats.org/drawingml/2006/main">
                    <a:graphicData uri="http://schemas.openxmlformats.org/drawingml/2006/picture">
                      <pic:pic xmlns:pic="http://schemas.openxmlformats.org/drawingml/2006/picture">
                        <pic:nvPicPr>
                          <pic:cNvPr id="17" name="Graphic 17">
                            <a:hlinkClick r:id="rId35"/>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rPr>
              <w:drawing>
                <wp:inline distT="0" distB="0" distL="0" distR="0" wp14:anchorId="4ECA74BE" wp14:editId="47ED8A7E">
                  <wp:extent cx="114935" cy="114935"/>
                  <wp:effectExtent l="0" t="0" r="0" b="0"/>
                  <wp:docPr id="16" name="Picture 16">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36"/>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received the B.Sc. and M.Sc. degrees in electrical engineering from Ain Shams University, Cairo, Egypt, in 1985 and 1990, respectively, and the Ph.D. degree in electrical engineering according to the channel system between Ain Shams University, Egypt, and Brunel University, U.K., in 1996. He has been a professor of electrical power engineering with Ain Shams University, since 2007. He is currently the Vice Dean of Faculty of Engineering and Technology, Future University in Egypt, Cairo, Egypt. He has authored or coauthored more than 400 refereed journal and conference papers, 25 book chapters, and three edited books with Elsevier and Springer. His research interests include the applications of artificial intelligence, evolutionary and heuristic optimization techniques to power system planning, operation, and control</w:t>
            </w:r>
            <w:r w:rsidRPr="00851B56">
              <w:rPr>
                <w:color w:val="000000"/>
                <w:sz w:val="18"/>
                <w:szCs w:val="18"/>
              </w:rPr>
              <w:t xml:space="preserve">. He can be contacted at email: </w:t>
            </w:r>
            <w:r>
              <w:rPr>
                <w:color w:val="000000"/>
                <w:sz w:val="18"/>
                <w:szCs w:val="18"/>
              </w:rPr>
              <w:t>almoataz</w:t>
            </w:r>
            <w:r w:rsidRPr="00851B56">
              <w:rPr>
                <w:color w:val="000000"/>
                <w:sz w:val="18"/>
                <w:szCs w:val="18"/>
              </w:rPr>
              <w:t>@mail.com.</w:t>
            </w:r>
          </w:p>
        </w:tc>
      </w:tr>
      <w:bookmarkEnd w:id="28"/>
    </w:tbl>
    <w:p w14:paraId="37D0DB45" w14:textId="581EF315" w:rsidR="00E619D6" w:rsidRDefault="00E619D6" w:rsidP="00F15BF4">
      <w:pPr>
        <w:ind w:firstLine="720"/>
        <w:jc w:val="both"/>
        <w:rPr>
          <w:iCs/>
          <w:lang w:val="en-ID"/>
        </w:rPr>
      </w:pPr>
    </w:p>
    <w:p w14:paraId="36605767" w14:textId="7A1C792B" w:rsidR="006E58AF" w:rsidRPr="003D6B19" w:rsidRDefault="006E58AF" w:rsidP="00F15BF4">
      <w:pPr>
        <w:ind w:firstLine="720"/>
        <w:jc w:val="both"/>
        <w:rPr>
          <w:iCs/>
          <w:lang w:val="en-ID"/>
        </w:rPr>
      </w:pPr>
    </w:p>
    <w:sectPr w:rsidR="006E58AF" w:rsidRPr="003D6B19" w:rsidSect="002A276C">
      <w:headerReference w:type="even" r:id="rId37"/>
      <w:headerReference w:type="default" r:id="rId38"/>
      <w:footerReference w:type="even" r:id="rId39"/>
      <w:footerReference w:type="default" r:id="rId40"/>
      <w:headerReference w:type="first" r:id="rId41"/>
      <w:footerReference w:type="first" r:id="rId42"/>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8B14" w14:textId="77777777" w:rsidR="00C71D59" w:rsidRDefault="00C71D59">
      <w:r>
        <w:separator/>
      </w:r>
    </w:p>
  </w:endnote>
  <w:endnote w:type="continuationSeparator" w:id="0">
    <w:p w14:paraId="5758B01F" w14:textId="77777777" w:rsidR="00C71D59" w:rsidRDefault="00C7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014B4028"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7216" behindDoc="0" locked="0" layoutInCell="1" allowOverlap="1" wp14:anchorId="307E942D" wp14:editId="1F7CC4B4">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2075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784C44">
      <w:t xml:space="preserve">Int J Elec </w:t>
    </w:r>
    <w:r w:rsidR="00784C44" w:rsidRPr="00E619D6">
      <w:t xml:space="preserve">&amp; Comp Eng, </w:t>
    </w:r>
    <w:r w:rsidR="00097958" w:rsidRPr="00E619D6">
      <w:t xml:space="preserve">Vol. </w:t>
    </w:r>
    <w:r w:rsidR="00D167B5">
      <w:t>99</w:t>
    </w:r>
    <w:r w:rsidR="00097958" w:rsidRPr="00E619D6">
      <w:t xml:space="preserve">, No. </w:t>
    </w:r>
    <w:r w:rsidR="00D167B5">
      <w:t>1</w:t>
    </w:r>
    <w:r w:rsidR="0055343D" w:rsidRPr="00E619D6">
      <w:t xml:space="preserve">, </w:t>
    </w:r>
    <w:r w:rsidR="00A45398" w:rsidRPr="00735BBC">
      <w:t>Month</w:t>
    </w:r>
    <w:r w:rsidR="003A2810" w:rsidRPr="00735BBC">
      <w:t xml:space="preserve"> </w:t>
    </w:r>
    <w:r w:rsidR="003E4DD5" w:rsidRPr="00735BBC">
      <w:t>20</w:t>
    </w:r>
    <w:r w:rsidR="00D167B5">
      <w:t>99</w:t>
    </w:r>
    <w:r w:rsidR="00E305A0" w:rsidRPr="00735BBC">
      <w:t>:</w:t>
    </w:r>
    <w:r w:rsidR="00097958" w:rsidRPr="00735BBC">
      <w:t xml:space="preserve"> </w:t>
    </w:r>
    <w:r w:rsidR="00D167B5" w:rsidRPr="00D167B5">
      <w:t>1</w:t>
    </w:r>
    <w:r w:rsidR="001C26FB">
      <w:t>-</w:t>
    </w:r>
    <w:r w:rsidR="00D167B5" w:rsidRPr="00D167B5">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58240" behindDoc="0" locked="0" layoutInCell="1" allowOverlap="1" wp14:anchorId="62A3734C" wp14:editId="1092EF7B">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913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47C50B12"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60288" behindDoc="0" locked="0" layoutInCell="1" allowOverlap="1" wp14:anchorId="066E0B6C" wp14:editId="646FA9DB">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9912F"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1E4341" w:rsidRPr="001E4341">
      <w:rPr>
        <w:i/>
        <w:szCs w:val="18"/>
      </w:rPr>
      <w:t>http://ijece.iaescore.com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1B15" w14:textId="77777777" w:rsidR="00C71D59" w:rsidRDefault="00C71D59">
      <w:r>
        <w:separator/>
      </w:r>
    </w:p>
  </w:footnote>
  <w:footnote w:type="continuationSeparator" w:id="0">
    <w:p w14:paraId="39865A90" w14:textId="77777777" w:rsidR="00C71D59" w:rsidRDefault="00C7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AE041B">
      <w:rPr>
        <w:rStyle w:val="PageNumber"/>
        <w:noProof/>
      </w:rPr>
      <w:t>4</w:t>
    </w:r>
    <w:r w:rsidRPr="003D5B84">
      <w:rPr>
        <w:rStyle w:val="PageNumber"/>
      </w:rPr>
      <w:fldChar w:fldCharType="end"/>
    </w:r>
  </w:p>
  <w:p w14:paraId="7F150106" w14:textId="77777777"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168" behindDoc="0" locked="0" layoutInCell="1" allowOverlap="1" wp14:anchorId="36240665" wp14:editId="6C824E61">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ED664"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8B060F" w:rsidRPr="003D5B84">
      <w:t>2088-8708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AE041B">
      <w:rPr>
        <w:rStyle w:val="PageNumber"/>
        <w:noProof/>
      </w:rPr>
      <w:t>3</w:t>
    </w:r>
    <w:r w:rsidRPr="003D5B84">
      <w:rPr>
        <w:rStyle w:val="PageNumber"/>
      </w:rPr>
      <w:fldChar w:fldCharType="end"/>
    </w:r>
  </w:p>
  <w:p w14:paraId="72D04B55" w14:textId="437CD960" w:rsidR="00097958" w:rsidRPr="003D5B84" w:rsidRDefault="00784C44" w:rsidP="00222701">
    <w:pPr>
      <w:pStyle w:val="Header"/>
      <w:tabs>
        <w:tab w:val="clear" w:pos="4320"/>
        <w:tab w:val="clear" w:pos="8640"/>
        <w:tab w:val="left" w:pos="0"/>
        <w:tab w:val="center" w:pos="4301"/>
        <w:tab w:val="left" w:pos="7938"/>
      </w:tabs>
    </w:pPr>
    <w:r>
      <w:t>Int J Elec &amp; Comp Eng</w:t>
    </w:r>
    <w:r w:rsidR="00097958" w:rsidRPr="003D5B84">
      <w:t xml:space="preserve"> </w:t>
    </w:r>
    <w:r w:rsidR="00097958" w:rsidRPr="003D5B84">
      <w:tab/>
      <w:t>ISSN:</w:t>
    </w:r>
    <w:r w:rsidR="004F4003">
      <w:t xml:space="preserve"> </w:t>
    </w:r>
    <w:r w:rsidR="00E5155C" w:rsidRPr="003D5B84">
      <w:t>2088-8708</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6192" behindDoc="0" locked="0" layoutInCell="1" allowOverlap="1" wp14:anchorId="485510DB" wp14:editId="5E05CC55">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3FDB95"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4F80" w14:textId="77777777" w:rsidR="008B060F" w:rsidRPr="003D5B84" w:rsidRDefault="008B060F" w:rsidP="008B04B3">
    <w:pPr>
      <w:pStyle w:val="Header"/>
      <w:tabs>
        <w:tab w:val="clear" w:pos="4320"/>
        <w:tab w:val="clear" w:pos="8640"/>
      </w:tabs>
      <w:ind w:right="45"/>
      <w:rPr>
        <w:b/>
      </w:rPr>
    </w:pPr>
    <w:r w:rsidRPr="003D5B84">
      <w:rPr>
        <w:b/>
      </w:rPr>
      <w:t>International Journal of Electrical and Computer Engineering (IJECE)</w:t>
    </w:r>
  </w:p>
  <w:p w14:paraId="43B9CC0C" w14:textId="4B8584C6" w:rsidR="002F6BBA" w:rsidRPr="00851B56" w:rsidRDefault="002F6BBA" w:rsidP="008B04B3">
    <w:pPr>
      <w:pStyle w:val="Header"/>
      <w:tabs>
        <w:tab w:val="clear" w:pos="4320"/>
        <w:tab w:val="clear" w:pos="8640"/>
      </w:tabs>
      <w:ind w:right="45"/>
    </w:pPr>
    <w:bookmarkStart w:id="29" w:name="_Hlk80000548"/>
    <w:r w:rsidRPr="00851B56">
      <w:t>Vol.</w:t>
    </w:r>
    <w:r w:rsidR="00E57D47" w:rsidRPr="00851B56">
      <w:t xml:space="preserve"> </w:t>
    </w:r>
    <w:r w:rsidR="006E0C37" w:rsidRPr="00851B56">
      <w:t>99</w:t>
    </w:r>
    <w:r w:rsidRPr="00851B56">
      <w:t>, No.</w:t>
    </w:r>
    <w:r w:rsidR="00E57D47" w:rsidRPr="00851B56">
      <w:t xml:space="preserve"> </w:t>
    </w:r>
    <w:r w:rsidR="006E0C37" w:rsidRPr="00851B56">
      <w:t>1</w:t>
    </w:r>
    <w:r w:rsidRPr="00851B56">
      <w:t xml:space="preserve">, </w:t>
    </w:r>
    <w:r w:rsidR="00523156" w:rsidRPr="00851B56">
      <w:t>Month</w:t>
    </w:r>
    <w:r w:rsidR="008B060F" w:rsidRPr="00851B56">
      <w:t xml:space="preserve"> </w:t>
    </w:r>
    <w:r w:rsidR="00523156" w:rsidRPr="00851B56">
      <w:t>20</w:t>
    </w:r>
    <w:r w:rsidR="006E0C37" w:rsidRPr="00851B56">
      <w:t>99</w:t>
    </w:r>
    <w:r w:rsidR="0075769A" w:rsidRPr="00851B56">
      <w:t xml:space="preserve">, pp. </w:t>
    </w:r>
    <w:r w:rsidR="006E0C37" w:rsidRPr="00851B56">
      <w:t>1</w:t>
    </w:r>
    <w:r w:rsidR="008B060F" w:rsidRPr="00851B56">
      <w:t>~</w:t>
    </w:r>
    <w:r w:rsidR="006E0C37" w:rsidRPr="00851B56">
      <w:t>1x</w:t>
    </w:r>
  </w:p>
  <w:bookmarkEnd w:id="29"/>
  <w:p w14:paraId="2A371CCD" w14:textId="2BD2F414" w:rsidR="00097958" w:rsidRDefault="002F6BBA" w:rsidP="00E77E1F">
    <w:pPr>
      <w:pStyle w:val="Header"/>
      <w:tabs>
        <w:tab w:val="clear" w:pos="4320"/>
        <w:tab w:val="clear" w:pos="8640"/>
        <w:tab w:val="left" w:pos="7938"/>
        <w:tab w:val="right" w:pos="8789"/>
      </w:tabs>
      <w:rPr>
        <w:rStyle w:val="PageNumber"/>
      </w:rPr>
    </w:pPr>
    <w:r w:rsidRPr="00851B56">
      <w:t xml:space="preserve">ISSN: </w:t>
    </w:r>
    <w:r w:rsidR="008B060F" w:rsidRPr="00851B56">
      <w:t>2088-8708</w:t>
    </w:r>
    <w:r w:rsidR="00847569" w:rsidRPr="00851B56">
      <w:t>, DOI: 10.11591/ijece.v</w:t>
    </w:r>
    <w:r w:rsidR="006E0C37" w:rsidRPr="00851B56">
      <w:t>99</w:t>
    </w:r>
    <w:r w:rsidR="00847569" w:rsidRPr="00851B56">
      <w:t>i</w:t>
    </w:r>
    <w:r w:rsidR="006E0C37" w:rsidRPr="00851B56">
      <w:t>1</w:t>
    </w:r>
    <w:r w:rsidR="00847569" w:rsidRPr="00851B56">
      <w:t>.</w:t>
    </w:r>
    <w:r w:rsidR="00050148" w:rsidRPr="00851B56">
      <w:t>pp</w:t>
    </w:r>
    <w:r w:rsidR="006E0C37" w:rsidRPr="00851B56">
      <w:t>1</w:t>
    </w:r>
    <w:r w:rsidR="00AD5DF4" w:rsidRPr="00851B56">
      <w:t>-</w:t>
    </w:r>
    <w:r w:rsidR="006E0C37" w:rsidRPr="00851B56">
      <w:t>1x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AE041B">
      <w:rPr>
        <w:rStyle w:val="PageNumber"/>
        <w:noProof/>
      </w:rPr>
      <w:t>1</w:t>
    </w:r>
    <w:r w:rsidR="00C3666D" w:rsidRPr="003D5B84">
      <w:rPr>
        <w:rStyle w:val="PageNumber"/>
      </w:rPr>
      <w:fldChar w:fldCharType="end"/>
    </w:r>
    <w:r w:rsidR="00050148">
      <w:rPr>
        <w:noProof/>
      </w:rPr>
      <mc:AlternateContent>
        <mc:Choice Requires="wps">
          <w:drawing>
            <wp:anchor distT="0" distB="0" distL="114300" distR="114300" simplePos="0" relativeHeight="251659264" behindDoc="0" locked="0" layoutInCell="1" allowOverlap="1" wp14:anchorId="480481AD" wp14:editId="6FF9FD19">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B78A2"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7FD"/>
    <w:rsid w:val="000158D0"/>
    <w:rsid w:val="00015F2A"/>
    <w:rsid w:val="00017858"/>
    <w:rsid w:val="00022D47"/>
    <w:rsid w:val="00027142"/>
    <w:rsid w:val="000279BE"/>
    <w:rsid w:val="00034C84"/>
    <w:rsid w:val="000416A3"/>
    <w:rsid w:val="000437AE"/>
    <w:rsid w:val="000442C6"/>
    <w:rsid w:val="000474E3"/>
    <w:rsid w:val="00047710"/>
    <w:rsid w:val="00050148"/>
    <w:rsid w:val="000523C5"/>
    <w:rsid w:val="00053FB7"/>
    <w:rsid w:val="00055411"/>
    <w:rsid w:val="0006020A"/>
    <w:rsid w:val="00060330"/>
    <w:rsid w:val="00060F5C"/>
    <w:rsid w:val="00061D77"/>
    <w:rsid w:val="00062720"/>
    <w:rsid w:val="00062EE6"/>
    <w:rsid w:val="00064AB2"/>
    <w:rsid w:val="00065191"/>
    <w:rsid w:val="00066063"/>
    <w:rsid w:val="000663E1"/>
    <w:rsid w:val="0007067D"/>
    <w:rsid w:val="0007154C"/>
    <w:rsid w:val="0007236F"/>
    <w:rsid w:val="00073422"/>
    <w:rsid w:val="00073635"/>
    <w:rsid w:val="00076C16"/>
    <w:rsid w:val="0007731B"/>
    <w:rsid w:val="000776D4"/>
    <w:rsid w:val="00080CCD"/>
    <w:rsid w:val="000830A2"/>
    <w:rsid w:val="00083B9D"/>
    <w:rsid w:val="00083DD6"/>
    <w:rsid w:val="00085121"/>
    <w:rsid w:val="00086551"/>
    <w:rsid w:val="000877AC"/>
    <w:rsid w:val="00087876"/>
    <w:rsid w:val="00087AF7"/>
    <w:rsid w:val="00090546"/>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30AE"/>
    <w:rsid w:val="000C4B17"/>
    <w:rsid w:val="000C730A"/>
    <w:rsid w:val="000D099B"/>
    <w:rsid w:val="000D3712"/>
    <w:rsid w:val="000D50C8"/>
    <w:rsid w:val="000D6591"/>
    <w:rsid w:val="000D67F7"/>
    <w:rsid w:val="000D6BC3"/>
    <w:rsid w:val="000D7AC9"/>
    <w:rsid w:val="000E0AE1"/>
    <w:rsid w:val="000E0C84"/>
    <w:rsid w:val="000E0CE9"/>
    <w:rsid w:val="000E0E3C"/>
    <w:rsid w:val="000E1C9D"/>
    <w:rsid w:val="000E28E0"/>
    <w:rsid w:val="000E46C5"/>
    <w:rsid w:val="000E46CF"/>
    <w:rsid w:val="000E4FD6"/>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6E19"/>
    <w:rsid w:val="00177E2C"/>
    <w:rsid w:val="00180992"/>
    <w:rsid w:val="00180FD2"/>
    <w:rsid w:val="00180FD4"/>
    <w:rsid w:val="00181509"/>
    <w:rsid w:val="00181965"/>
    <w:rsid w:val="00185202"/>
    <w:rsid w:val="00187B69"/>
    <w:rsid w:val="0019050C"/>
    <w:rsid w:val="00192E8C"/>
    <w:rsid w:val="0019377B"/>
    <w:rsid w:val="0019391D"/>
    <w:rsid w:val="00193F7B"/>
    <w:rsid w:val="00194FC9"/>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26FB"/>
    <w:rsid w:val="001C7A4E"/>
    <w:rsid w:val="001C7AC5"/>
    <w:rsid w:val="001D04CA"/>
    <w:rsid w:val="001D19C3"/>
    <w:rsid w:val="001D218B"/>
    <w:rsid w:val="001E0AB3"/>
    <w:rsid w:val="001E1922"/>
    <w:rsid w:val="001E2071"/>
    <w:rsid w:val="001E2F96"/>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1F3F"/>
    <w:rsid w:val="00204431"/>
    <w:rsid w:val="002045BC"/>
    <w:rsid w:val="0020464A"/>
    <w:rsid w:val="00204A25"/>
    <w:rsid w:val="0020608E"/>
    <w:rsid w:val="002073B6"/>
    <w:rsid w:val="002076CA"/>
    <w:rsid w:val="002079DD"/>
    <w:rsid w:val="00211BCA"/>
    <w:rsid w:val="00212DCC"/>
    <w:rsid w:val="00213B7B"/>
    <w:rsid w:val="002141C1"/>
    <w:rsid w:val="00215A82"/>
    <w:rsid w:val="00216F2A"/>
    <w:rsid w:val="00220914"/>
    <w:rsid w:val="002215FE"/>
    <w:rsid w:val="0022191D"/>
    <w:rsid w:val="00221D61"/>
    <w:rsid w:val="00221FB3"/>
    <w:rsid w:val="002224C4"/>
    <w:rsid w:val="00222701"/>
    <w:rsid w:val="00223324"/>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EC2"/>
    <w:rsid w:val="002550AB"/>
    <w:rsid w:val="00255388"/>
    <w:rsid w:val="00256322"/>
    <w:rsid w:val="00256E24"/>
    <w:rsid w:val="002575A8"/>
    <w:rsid w:val="00260476"/>
    <w:rsid w:val="00261B88"/>
    <w:rsid w:val="0026229E"/>
    <w:rsid w:val="002622CD"/>
    <w:rsid w:val="00266574"/>
    <w:rsid w:val="002668F8"/>
    <w:rsid w:val="00270E78"/>
    <w:rsid w:val="00271390"/>
    <w:rsid w:val="002714E9"/>
    <w:rsid w:val="002718C5"/>
    <w:rsid w:val="00271AB9"/>
    <w:rsid w:val="0027245E"/>
    <w:rsid w:val="00272BB5"/>
    <w:rsid w:val="002743A4"/>
    <w:rsid w:val="00274BCC"/>
    <w:rsid w:val="00275406"/>
    <w:rsid w:val="002769E7"/>
    <w:rsid w:val="00277772"/>
    <w:rsid w:val="00281882"/>
    <w:rsid w:val="00281D99"/>
    <w:rsid w:val="002821B9"/>
    <w:rsid w:val="002833E0"/>
    <w:rsid w:val="0028450D"/>
    <w:rsid w:val="00291EBF"/>
    <w:rsid w:val="00292DBC"/>
    <w:rsid w:val="00296D8E"/>
    <w:rsid w:val="002A0772"/>
    <w:rsid w:val="002A276C"/>
    <w:rsid w:val="002A708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4E92"/>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485"/>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304D"/>
    <w:rsid w:val="003E4AA5"/>
    <w:rsid w:val="003E4DD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1737A"/>
    <w:rsid w:val="00420D64"/>
    <w:rsid w:val="00424E85"/>
    <w:rsid w:val="00425BE9"/>
    <w:rsid w:val="00427072"/>
    <w:rsid w:val="00432932"/>
    <w:rsid w:val="0043585C"/>
    <w:rsid w:val="00441F35"/>
    <w:rsid w:val="00443205"/>
    <w:rsid w:val="004439D2"/>
    <w:rsid w:val="004503E9"/>
    <w:rsid w:val="00453463"/>
    <w:rsid w:val="00453F49"/>
    <w:rsid w:val="004550E4"/>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2DD8"/>
    <w:rsid w:val="004A335F"/>
    <w:rsid w:val="004A3F3D"/>
    <w:rsid w:val="004A4FDB"/>
    <w:rsid w:val="004A5FC0"/>
    <w:rsid w:val="004A7316"/>
    <w:rsid w:val="004A7C83"/>
    <w:rsid w:val="004B1FFE"/>
    <w:rsid w:val="004B2F8C"/>
    <w:rsid w:val="004B460B"/>
    <w:rsid w:val="004B4EDE"/>
    <w:rsid w:val="004B589F"/>
    <w:rsid w:val="004B661B"/>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C69"/>
    <w:rsid w:val="004E7D77"/>
    <w:rsid w:val="004F0E1F"/>
    <w:rsid w:val="004F101E"/>
    <w:rsid w:val="004F2A11"/>
    <w:rsid w:val="004F3166"/>
    <w:rsid w:val="004F3208"/>
    <w:rsid w:val="004F4003"/>
    <w:rsid w:val="004F54D2"/>
    <w:rsid w:val="004F6193"/>
    <w:rsid w:val="004F7FC9"/>
    <w:rsid w:val="00500785"/>
    <w:rsid w:val="00501713"/>
    <w:rsid w:val="00505F41"/>
    <w:rsid w:val="0050794C"/>
    <w:rsid w:val="0051075B"/>
    <w:rsid w:val="00511236"/>
    <w:rsid w:val="00511539"/>
    <w:rsid w:val="00512DE0"/>
    <w:rsid w:val="0051361F"/>
    <w:rsid w:val="00515455"/>
    <w:rsid w:val="005160A8"/>
    <w:rsid w:val="00516317"/>
    <w:rsid w:val="00516615"/>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3D36"/>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2F00"/>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120D"/>
    <w:rsid w:val="005D210E"/>
    <w:rsid w:val="005D3D27"/>
    <w:rsid w:val="005D464B"/>
    <w:rsid w:val="005D7D3A"/>
    <w:rsid w:val="005D7EB1"/>
    <w:rsid w:val="005E51F9"/>
    <w:rsid w:val="005E6EF7"/>
    <w:rsid w:val="005E736A"/>
    <w:rsid w:val="005E75FC"/>
    <w:rsid w:val="005F042D"/>
    <w:rsid w:val="005F3D1C"/>
    <w:rsid w:val="005F534C"/>
    <w:rsid w:val="005F75F8"/>
    <w:rsid w:val="006044C7"/>
    <w:rsid w:val="006123B6"/>
    <w:rsid w:val="00613977"/>
    <w:rsid w:val="0061627D"/>
    <w:rsid w:val="00617711"/>
    <w:rsid w:val="006206C7"/>
    <w:rsid w:val="00622EC4"/>
    <w:rsid w:val="0062488B"/>
    <w:rsid w:val="006327F1"/>
    <w:rsid w:val="00632A03"/>
    <w:rsid w:val="00636167"/>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0C37"/>
    <w:rsid w:val="006E361D"/>
    <w:rsid w:val="006E3810"/>
    <w:rsid w:val="006E44B1"/>
    <w:rsid w:val="006E492E"/>
    <w:rsid w:val="006E4C9D"/>
    <w:rsid w:val="006E5333"/>
    <w:rsid w:val="006E58AF"/>
    <w:rsid w:val="006E5DCF"/>
    <w:rsid w:val="006E669C"/>
    <w:rsid w:val="006E786F"/>
    <w:rsid w:val="006E7CF8"/>
    <w:rsid w:val="006F01C3"/>
    <w:rsid w:val="006F1251"/>
    <w:rsid w:val="006F5B9E"/>
    <w:rsid w:val="006F7480"/>
    <w:rsid w:val="0070124C"/>
    <w:rsid w:val="007017C6"/>
    <w:rsid w:val="007027BB"/>
    <w:rsid w:val="00705140"/>
    <w:rsid w:val="00705B09"/>
    <w:rsid w:val="007066C5"/>
    <w:rsid w:val="00710CA7"/>
    <w:rsid w:val="00712FFF"/>
    <w:rsid w:val="007142C8"/>
    <w:rsid w:val="00717A32"/>
    <w:rsid w:val="00720729"/>
    <w:rsid w:val="007212E2"/>
    <w:rsid w:val="00723DEB"/>
    <w:rsid w:val="007240E7"/>
    <w:rsid w:val="007258FD"/>
    <w:rsid w:val="007277F9"/>
    <w:rsid w:val="007315A7"/>
    <w:rsid w:val="00731AEB"/>
    <w:rsid w:val="00732039"/>
    <w:rsid w:val="00735BBC"/>
    <w:rsid w:val="00740C36"/>
    <w:rsid w:val="00741A8F"/>
    <w:rsid w:val="00742008"/>
    <w:rsid w:val="00743BA0"/>
    <w:rsid w:val="00747DFD"/>
    <w:rsid w:val="00753C3E"/>
    <w:rsid w:val="00754329"/>
    <w:rsid w:val="007547A1"/>
    <w:rsid w:val="00756935"/>
    <w:rsid w:val="00756A93"/>
    <w:rsid w:val="0075769A"/>
    <w:rsid w:val="00765DEF"/>
    <w:rsid w:val="00766E46"/>
    <w:rsid w:val="00770E6E"/>
    <w:rsid w:val="00771A7C"/>
    <w:rsid w:val="0077230A"/>
    <w:rsid w:val="00772725"/>
    <w:rsid w:val="00773EB7"/>
    <w:rsid w:val="007751AA"/>
    <w:rsid w:val="00777AD7"/>
    <w:rsid w:val="007840F3"/>
    <w:rsid w:val="00784C44"/>
    <w:rsid w:val="007912CE"/>
    <w:rsid w:val="007934C4"/>
    <w:rsid w:val="0079451D"/>
    <w:rsid w:val="00795966"/>
    <w:rsid w:val="007A04C8"/>
    <w:rsid w:val="007A3102"/>
    <w:rsid w:val="007A3B30"/>
    <w:rsid w:val="007A3FC0"/>
    <w:rsid w:val="007A49BA"/>
    <w:rsid w:val="007A609F"/>
    <w:rsid w:val="007A7484"/>
    <w:rsid w:val="007B39E8"/>
    <w:rsid w:val="007B3EF9"/>
    <w:rsid w:val="007B57A1"/>
    <w:rsid w:val="007B7535"/>
    <w:rsid w:val="007C0D3D"/>
    <w:rsid w:val="007C2A08"/>
    <w:rsid w:val="007C60D8"/>
    <w:rsid w:val="007D0AC6"/>
    <w:rsid w:val="007D2077"/>
    <w:rsid w:val="007D4DC3"/>
    <w:rsid w:val="007D60C6"/>
    <w:rsid w:val="007D76E7"/>
    <w:rsid w:val="007D7A78"/>
    <w:rsid w:val="007E5812"/>
    <w:rsid w:val="007E68A5"/>
    <w:rsid w:val="007F01C2"/>
    <w:rsid w:val="007F1EC7"/>
    <w:rsid w:val="007F286F"/>
    <w:rsid w:val="007F2C82"/>
    <w:rsid w:val="007F36F4"/>
    <w:rsid w:val="007F3EAF"/>
    <w:rsid w:val="007F40B0"/>
    <w:rsid w:val="007F5F38"/>
    <w:rsid w:val="007F665B"/>
    <w:rsid w:val="00802116"/>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3B38"/>
    <w:rsid w:val="00823F1C"/>
    <w:rsid w:val="00824697"/>
    <w:rsid w:val="00827A30"/>
    <w:rsid w:val="008318B8"/>
    <w:rsid w:val="00831DDD"/>
    <w:rsid w:val="00832386"/>
    <w:rsid w:val="00832A5C"/>
    <w:rsid w:val="008332DA"/>
    <w:rsid w:val="008344C2"/>
    <w:rsid w:val="00834BAC"/>
    <w:rsid w:val="00836D01"/>
    <w:rsid w:val="008373F8"/>
    <w:rsid w:val="008379F3"/>
    <w:rsid w:val="00837EA3"/>
    <w:rsid w:val="00840495"/>
    <w:rsid w:val="008439A0"/>
    <w:rsid w:val="00843BE9"/>
    <w:rsid w:val="00847569"/>
    <w:rsid w:val="008508FF"/>
    <w:rsid w:val="00850CAC"/>
    <w:rsid w:val="00851B56"/>
    <w:rsid w:val="0085238C"/>
    <w:rsid w:val="008530DA"/>
    <w:rsid w:val="0085352C"/>
    <w:rsid w:val="008538D0"/>
    <w:rsid w:val="00853BF4"/>
    <w:rsid w:val="00854ED5"/>
    <w:rsid w:val="00855965"/>
    <w:rsid w:val="00856356"/>
    <w:rsid w:val="008563F2"/>
    <w:rsid w:val="00860671"/>
    <w:rsid w:val="00860F0E"/>
    <w:rsid w:val="008629D4"/>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4B7F"/>
    <w:rsid w:val="008A5452"/>
    <w:rsid w:val="008A6436"/>
    <w:rsid w:val="008A6E5D"/>
    <w:rsid w:val="008B04B3"/>
    <w:rsid w:val="008B0584"/>
    <w:rsid w:val="008B060F"/>
    <w:rsid w:val="008B144F"/>
    <w:rsid w:val="008B1A88"/>
    <w:rsid w:val="008B279B"/>
    <w:rsid w:val="008B3B85"/>
    <w:rsid w:val="008B4221"/>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75D4"/>
    <w:rsid w:val="00900EC1"/>
    <w:rsid w:val="00901214"/>
    <w:rsid w:val="00904D6D"/>
    <w:rsid w:val="00904EC8"/>
    <w:rsid w:val="00906951"/>
    <w:rsid w:val="0091187A"/>
    <w:rsid w:val="009128F9"/>
    <w:rsid w:val="00912FBC"/>
    <w:rsid w:val="009135FA"/>
    <w:rsid w:val="00913D3B"/>
    <w:rsid w:val="00913F75"/>
    <w:rsid w:val="00915DA5"/>
    <w:rsid w:val="009162AB"/>
    <w:rsid w:val="00917EBE"/>
    <w:rsid w:val="00921D05"/>
    <w:rsid w:val="0092257C"/>
    <w:rsid w:val="00923121"/>
    <w:rsid w:val="00923F6F"/>
    <w:rsid w:val="00925CC8"/>
    <w:rsid w:val="009314C3"/>
    <w:rsid w:val="009317FD"/>
    <w:rsid w:val="00933C70"/>
    <w:rsid w:val="009406FF"/>
    <w:rsid w:val="00941203"/>
    <w:rsid w:val="009416C1"/>
    <w:rsid w:val="0094264B"/>
    <w:rsid w:val="0094367D"/>
    <w:rsid w:val="00943FA1"/>
    <w:rsid w:val="00945A5C"/>
    <w:rsid w:val="00946389"/>
    <w:rsid w:val="0094738D"/>
    <w:rsid w:val="00950EF7"/>
    <w:rsid w:val="00954DC1"/>
    <w:rsid w:val="00955462"/>
    <w:rsid w:val="00956EB6"/>
    <w:rsid w:val="00956F83"/>
    <w:rsid w:val="00957C11"/>
    <w:rsid w:val="009617A9"/>
    <w:rsid w:val="009665BE"/>
    <w:rsid w:val="009673AB"/>
    <w:rsid w:val="00970E84"/>
    <w:rsid w:val="00971153"/>
    <w:rsid w:val="00972DAA"/>
    <w:rsid w:val="0097684D"/>
    <w:rsid w:val="00981036"/>
    <w:rsid w:val="00981E5F"/>
    <w:rsid w:val="00983846"/>
    <w:rsid w:val="00990CC8"/>
    <w:rsid w:val="0099227E"/>
    <w:rsid w:val="009949C5"/>
    <w:rsid w:val="00997C10"/>
    <w:rsid w:val="009A19B2"/>
    <w:rsid w:val="009A4193"/>
    <w:rsid w:val="009B3EC0"/>
    <w:rsid w:val="009B4878"/>
    <w:rsid w:val="009B5FE8"/>
    <w:rsid w:val="009B62B1"/>
    <w:rsid w:val="009B7695"/>
    <w:rsid w:val="009B76C2"/>
    <w:rsid w:val="009C06E2"/>
    <w:rsid w:val="009C080D"/>
    <w:rsid w:val="009C142A"/>
    <w:rsid w:val="009C5293"/>
    <w:rsid w:val="009D41DF"/>
    <w:rsid w:val="009D709E"/>
    <w:rsid w:val="009E0249"/>
    <w:rsid w:val="009E055A"/>
    <w:rsid w:val="009E0F0F"/>
    <w:rsid w:val="009E2DB3"/>
    <w:rsid w:val="009E36AC"/>
    <w:rsid w:val="009E41D1"/>
    <w:rsid w:val="009E44AE"/>
    <w:rsid w:val="009E4FB4"/>
    <w:rsid w:val="009E5694"/>
    <w:rsid w:val="009E585B"/>
    <w:rsid w:val="009E742D"/>
    <w:rsid w:val="009E7D5A"/>
    <w:rsid w:val="009F040E"/>
    <w:rsid w:val="009F1F65"/>
    <w:rsid w:val="009F3146"/>
    <w:rsid w:val="00A01765"/>
    <w:rsid w:val="00A02DD3"/>
    <w:rsid w:val="00A04D6C"/>
    <w:rsid w:val="00A05622"/>
    <w:rsid w:val="00A100B6"/>
    <w:rsid w:val="00A1136A"/>
    <w:rsid w:val="00A12DD9"/>
    <w:rsid w:val="00A135A2"/>
    <w:rsid w:val="00A16250"/>
    <w:rsid w:val="00A17296"/>
    <w:rsid w:val="00A17D28"/>
    <w:rsid w:val="00A21621"/>
    <w:rsid w:val="00A22457"/>
    <w:rsid w:val="00A22900"/>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02D2"/>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2751"/>
    <w:rsid w:val="00AC374E"/>
    <w:rsid w:val="00AC60ED"/>
    <w:rsid w:val="00AD1A38"/>
    <w:rsid w:val="00AD2373"/>
    <w:rsid w:val="00AD4DF3"/>
    <w:rsid w:val="00AD564C"/>
    <w:rsid w:val="00AD5DF4"/>
    <w:rsid w:val="00AD7639"/>
    <w:rsid w:val="00AE041B"/>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39E7"/>
    <w:rsid w:val="00B514D3"/>
    <w:rsid w:val="00B51BC7"/>
    <w:rsid w:val="00B51E2C"/>
    <w:rsid w:val="00B52134"/>
    <w:rsid w:val="00B56063"/>
    <w:rsid w:val="00B570B0"/>
    <w:rsid w:val="00B57714"/>
    <w:rsid w:val="00B61620"/>
    <w:rsid w:val="00B64061"/>
    <w:rsid w:val="00B65BB6"/>
    <w:rsid w:val="00B7048C"/>
    <w:rsid w:val="00B71D8A"/>
    <w:rsid w:val="00B73F7D"/>
    <w:rsid w:val="00B743B9"/>
    <w:rsid w:val="00B768D7"/>
    <w:rsid w:val="00B7753D"/>
    <w:rsid w:val="00B778A3"/>
    <w:rsid w:val="00B809F3"/>
    <w:rsid w:val="00B85932"/>
    <w:rsid w:val="00B87588"/>
    <w:rsid w:val="00B92474"/>
    <w:rsid w:val="00BA2419"/>
    <w:rsid w:val="00BA2A58"/>
    <w:rsid w:val="00BB0F2F"/>
    <w:rsid w:val="00BB1C66"/>
    <w:rsid w:val="00BB3596"/>
    <w:rsid w:val="00BB3FB3"/>
    <w:rsid w:val="00BB48F9"/>
    <w:rsid w:val="00BB524D"/>
    <w:rsid w:val="00BB5385"/>
    <w:rsid w:val="00BB5653"/>
    <w:rsid w:val="00BB6E3C"/>
    <w:rsid w:val="00BC06CF"/>
    <w:rsid w:val="00BC0E05"/>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2FF2"/>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3DCD"/>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1C74"/>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1D59"/>
    <w:rsid w:val="00C723B3"/>
    <w:rsid w:val="00C72659"/>
    <w:rsid w:val="00C734AC"/>
    <w:rsid w:val="00C73BD7"/>
    <w:rsid w:val="00C80CAC"/>
    <w:rsid w:val="00C81C9C"/>
    <w:rsid w:val="00C82325"/>
    <w:rsid w:val="00C8516B"/>
    <w:rsid w:val="00C854C1"/>
    <w:rsid w:val="00C85B81"/>
    <w:rsid w:val="00C9178F"/>
    <w:rsid w:val="00C93F76"/>
    <w:rsid w:val="00C9655A"/>
    <w:rsid w:val="00C96FCA"/>
    <w:rsid w:val="00C9754D"/>
    <w:rsid w:val="00C975DF"/>
    <w:rsid w:val="00CA5D84"/>
    <w:rsid w:val="00CC1960"/>
    <w:rsid w:val="00CC2F23"/>
    <w:rsid w:val="00CC7B7A"/>
    <w:rsid w:val="00CD4F70"/>
    <w:rsid w:val="00CE1CF3"/>
    <w:rsid w:val="00CE4BC0"/>
    <w:rsid w:val="00CE70F3"/>
    <w:rsid w:val="00CE7659"/>
    <w:rsid w:val="00CF0E18"/>
    <w:rsid w:val="00CF1C58"/>
    <w:rsid w:val="00CF29A4"/>
    <w:rsid w:val="00CF2F2E"/>
    <w:rsid w:val="00CF4D01"/>
    <w:rsid w:val="00CF624D"/>
    <w:rsid w:val="00CF6E34"/>
    <w:rsid w:val="00D0495F"/>
    <w:rsid w:val="00D0506E"/>
    <w:rsid w:val="00D060CE"/>
    <w:rsid w:val="00D066D9"/>
    <w:rsid w:val="00D076EF"/>
    <w:rsid w:val="00D07778"/>
    <w:rsid w:val="00D108C5"/>
    <w:rsid w:val="00D10D1E"/>
    <w:rsid w:val="00D10D7A"/>
    <w:rsid w:val="00D1187F"/>
    <w:rsid w:val="00D11C2D"/>
    <w:rsid w:val="00D1618D"/>
    <w:rsid w:val="00D167B1"/>
    <w:rsid w:val="00D167B5"/>
    <w:rsid w:val="00D16D1B"/>
    <w:rsid w:val="00D21F66"/>
    <w:rsid w:val="00D24B66"/>
    <w:rsid w:val="00D24C22"/>
    <w:rsid w:val="00D26476"/>
    <w:rsid w:val="00D31492"/>
    <w:rsid w:val="00D3478B"/>
    <w:rsid w:val="00D35E12"/>
    <w:rsid w:val="00D413DD"/>
    <w:rsid w:val="00D4189D"/>
    <w:rsid w:val="00D424E3"/>
    <w:rsid w:val="00D4255A"/>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57774"/>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C4758"/>
    <w:rsid w:val="00DD0E87"/>
    <w:rsid w:val="00DD2BCD"/>
    <w:rsid w:val="00DD35E7"/>
    <w:rsid w:val="00DD4EAF"/>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1575"/>
    <w:rsid w:val="00E12071"/>
    <w:rsid w:val="00E12660"/>
    <w:rsid w:val="00E12838"/>
    <w:rsid w:val="00E15BBF"/>
    <w:rsid w:val="00E15ECD"/>
    <w:rsid w:val="00E230D8"/>
    <w:rsid w:val="00E239E2"/>
    <w:rsid w:val="00E23F00"/>
    <w:rsid w:val="00E2599A"/>
    <w:rsid w:val="00E26A0F"/>
    <w:rsid w:val="00E305A0"/>
    <w:rsid w:val="00E318D4"/>
    <w:rsid w:val="00E339EE"/>
    <w:rsid w:val="00E3557A"/>
    <w:rsid w:val="00E4014C"/>
    <w:rsid w:val="00E401FC"/>
    <w:rsid w:val="00E41B8C"/>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2731"/>
    <w:rsid w:val="00E76BE0"/>
    <w:rsid w:val="00E76BE5"/>
    <w:rsid w:val="00E7790B"/>
    <w:rsid w:val="00E77E10"/>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5C2D"/>
    <w:rsid w:val="00EF754D"/>
    <w:rsid w:val="00F027E9"/>
    <w:rsid w:val="00F0775E"/>
    <w:rsid w:val="00F15BF4"/>
    <w:rsid w:val="00F15F69"/>
    <w:rsid w:val="00F1612D"/>
    <w:rsid w:val="00F173DD"/>
    <w:rsid w:val="00F21119"/>
    <w:rsid w:val="00F25164"/>
    <w:rsid w:val="00F266B5"/>
    <w:rsid w:val="00F277D3"/>
    <w:rsid w:val="00F30392"/>
    <w:rsid w:val="00F30997"/>
    <w:rsid w:val="00F32896"/>
    <w:rsid w:val="00F33C08"/>
    <w:rsid w:val="00F35ADB"/>
    <w:rsid w:val="00F37235"/>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CA3"/>
    <w:rsid w:val="00F75EF9"/>
    <w:rsid w:val="00F77A9B"/>
    <w:rsid w:val="00F83035"/>
    <w:rsid w:val="00F866B0"/>
    <w:rsid w:val="00F869EF"/>
    <w:rsid w:val="00F86BE4"/>
    <w:rsid w:val="00F86C7B"/>
    <w:rsid w:val="00F86D61"/>
    <w:rsid w:val="00F902B7"/>
    <w:rsid w:val="00F905B6"/>
    <w:rsid w:val="00F90B31"/>
    <w:rsid w:val="00F914B2"/>
    <w:rsid w:val="00F926B9"/>
    <w:rsid w:val="00F9541D"/>
    <w:rsid w:val="00FA0403"/>
    <w:rsid w:val="00FA0CE6"/>
    <w:rsid w:val="00FA35FB"/>
    <w:rsid w:val="00FA5742"/>
    <w:rsid w:val="00FA597D"/>
    <w:rsid w:val="00FA5B9A"/>
    <w:rsid w:val="00FA7BF0"/>
    <w:rsid w:val="00FB01B9"/>
    <w:rsid w:val="00FB763A"/>
    <w:rsid w:val="00FB79C0"/>
    <w:rsid w:val="00FC2EB8"/>
    <w:rsid w:val="00FC5C43"/>
    <w:rsid w:val="00FD1598"/>
    <w:rsid w:val="00FD576E"/>
    <w:rsid w:val="00FD596B"/>
    <w:rsid w:val="00FD6FBB"/>
    <w:rsid w:val="00FE58CC"/>
    <w:rsid w:val="00FE75A9"/>
    <w:rsid w:val="00FF058D"/>
    <w:rsid w:val="00FF1D8E"/>
    <w:rsid w:val="00FF2440"/>
    <w:rsid w:val="00FF322C"/>
    <w:rsid w:val="00FF33B7"/>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E619D6"/>
    <w:rPr>
      <w:color w:val="605E5C"/>
      <w:shd w:val="clear" w:color="auto" w:fill="E1DFDD"/>
    </w:rPr>
  </w:style>
  <w:style w:type="character" w:customStyle="1" w:styleId="highlight">
    <w:name w:val="highlight"/>
    <w:basedOn w:val="DefaultParagraphFont"/>
    <w:rsid w:val="00BE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scholar.google.com/citations?user=bwiNxDQAAAAJ" TargetMode="External"/><Relationship Id="rId26" Type="http://schemas.openxmlformats.org/officeDocument/2006/relationships/hyperlink" Target="https://orcid.org/0000-0003-2838-8679" TargetMode="External"/><Relationship Id="rId39" Type="http://schemas.openxmlformats.org/officeDocument/2006/relationships/footer" Target="footer1.xml"/><Relationship Id="rId21" Type="http://schemas.openxmlformats.org/officeDocument/2006/relationships/image" Target="media/image8.png"/><Relationship Id="rId34" Type="http://schemas.openxmlformats.org/officeDocument/2006/relationships/hyperlink" Target="https://scholar.google.com/citations?hl=en&amp;user=646RieYAAAAJ"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rcid.org/0000-0001-9902-7729" TargetMode="External"/><Relationship Id="rId20" Type="http://schemas.openxmlformats.org/officeDocument/2006/relationships/hyperlink" Target="https://www.scopus.com/authid/detail.uri?authorId=6508110941" TargetMode="External"/><Relationship Id="rId29" Type="http://schemas.openxmlformats.org/officeDocument/2006/relationships/hyperlink" Target="https://www.scopus.com/authid/detail.uri?authorId=3573092920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2.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publons.com/researcher/3133629/suttichai-premrudeepreechacharn/" TargetMode="External"/><Relationship Id="rId28" Type="http://schemas.openxmlformats.org/officeDocument/2006/relationships/hyperlink" Target="https://scholar.google.co.id/citations?user=o0Ap5ecAAAAJ" TargetMode="External"/><Relationship Id="rId36" Type="http://schemas.openxmlformats.org/officeDocument/2006/relationships/hyperlink" Target="https://publons.com/researcher/2894894/almoataz-y-abdelaziz/" TargetMode="Externa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hyperlink" Target="https://publons.com/researcher/1170442/dr-angela-amphawa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image" Target="media/image9.svg"/><Relationship Id="rId27" Type="http://schemas.openxmlformats.org/officeDocument/2006/relationships/hyperlink" Target="https://scholar.google.com/citations?user=kdOwHMIAAAAJ&amp;hl=en&amp;oi=sra" TargetMode="External"/><Relationship Id="rId30" Type="http://schemas.openxmlformats.org/officeDocument/2006/relationships/hyperlink" Target="https://www.scopus.com/authid/detail.uri?authorId=36815724000" TargetMode="External"/><Relationship Id="rId35" Type="http://schemas.openxmlformats.org/officeDocument/2006/relationships/hyperlink" Target="https://www.scopus.com/authid/detail.uri?authorId=7003870872" TargetMode="External"/><Relationship Id="rId43" Type="http://schemas.openxmlformats.org/officeDocument/2006/relationships/fontTable" Target="fontTable.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image" Target="media/image11.jpeg"/><Relationship Id="rId33" Type="http://schemas.openxmlformats.org/officeDocument/2006/relationships/hyperlink" Target="https://orcid.org/0000-0001-5903-5257"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6F19-2AB0-4E98-948B-2BADE313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6</Pages>
  <Words>13381</Words>
  <Characters>76272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International Journal of Electrical and Computer Engineering (IJECE)</vt:lpstr>
    </vt:vector>
  </TitlesOfParts>
  <Company>IAES | Institute of Advanced Engineering and Science</Company>
  <LinksUpToDate>false</LinksUpToDate>
  <CharactersWithSpaces>89475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Electrical and Computer Engineering (IJECE)</dc:title>
  <dc:creator>IJECE</dc:creator>
  <cp:keywords>artificial intelligence &amp; soft computing; automation; big data &amp; cloud computing; circuits &amp; electronics; computer science &amp; information technology; digital signal; electrical &amp; power engineering; image &amp; video processing; instrumentation &amp; control engineering; internet of things; power electronics &amp; drives; telecommunication system &amp; technology;</cp:keywords>
  <dc:description>IJECE Template and Guide of Authors</dc:description>
  <cp:lastModifiedBy>IAES CORE 1</cp:lastModifiedBy>
  <cp:revision>83</cp:revision>
  <cp:lastPrinted>2021-08-31T02:39:00Z</cp:lastPrinted>
  <dcterms:created xsi:type="dcterms:W3CDTF">2021-04-05T07:37:00Z</dcterms:created>
  <dcterms:modified xsi:type="dcterms:W3CDTF">2022-01-12T03:22:00Z</dcterms:modified>
  <cp:category/>
</cp:coreProperties>
</file>